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74E" w:rsidRPr="00DD0C55" w:rsidRDefault="0040674E" w:rsidP="0040674E">
      <w:pPr>
        <w:spacing w:after="0" w:line="240" w:lineRule="auto"/>
        <w:ind w:firstLine="851"/>
        <w:jc w:val="right"/>
        <w:outlineLvl w:val="0"/>
        <w:rPr>
          <w:rFonts w:ascii="Times New Roman" w:hAnsi="Times New Roman" w:cs="Times New Roman"/>
          <w:bCs/>
        </w:rPr>
      </w:pPr>
      <w:r w:rsidRPr="00DD0C55">
        <w:rPr>
          <w:rFonts w:ascii="Times New Roman" w:hAnsi="Times New Roman" w:cs="Times New Roman"/>
          <w:bCs/>
        </w:rPr>
        <w:t>Приложение № 1  к Договору</w:t>
      </w:r>
    </w:p>
    <w:p w:rsidR="0040674E" w:rsidRPr="00DD0C55" w:rsidRDefault="0040674E" w:rsidP="0040674E">
      <w:pPr>
        <w:spacing w:after="0" w:line="240" w:lineRule="auto"/>
        <w:ind w:firstLine="851"/>
        <w:jc w:val="right"/>
        <w:rPr>
          <w:rFonts w:ascii="Times New Roman" w:hAnsi="Times New Roman" w:cs="Times New Roman"/>
          <w:bCs/>
        </w:rPr>
      </w:pPr>
      <w:r w:rsidRPr="00DD0C55">
        <w:rPr>
          <w:rFonts w:ascii="Times New Roman" w:hAnsi="Times New Roman" w:cs="Times New Roman"/>
          <w:bCs/>
        </w:rPr>
        <w:t xml:space="preserve">от </w:t>
      </w:r>
      <w:r w:rsidRPr="00DD0C55">
        <w:rPr>
          <w:rFonts w:ascii="Times New Roman" w:hAnsi="Times New Roman" w:cs="Times New Roman"/>
        </w:rPr>
        <w:t>«</w:t>
      </w:r>
      <w:permStart w:id="0" w:edGrp="everyone"/>
      <w:r w:rsidRPr="00DD0C55">
        <w:rPr>
          <w:rFonts w:ascii="Times New Roman" w:hAnsi="Times New Roman" w:cs="Times New Roman"/>
        </w:rPr>
        <w:t>__» </w:t>
      </w:r>
      <w:permStart w:id="1" w:edGrp="everyone"/>
      <w:permEnd w:id="0"/>
      <w:r w:rsidRPr="00DD0C55">
        <w:rPr>
          <w:rFonts w:ascii="Times New Roman" w:hAnsi="Times New Roman" w:cs="Times New Roman"/>
        </w:rPr>
        <w:t>_________ 20</w:t>
      </w:r>
      <w:permStart w:id="2" w:edGrp="everyone"/>
      <w:permEnd w:id="1"/>
      <w:r w:rsidRPr="00DD0C55">
        <w:rPr>
          <w:rFonts w:ascii="Times New Roman" w:hAnsi="Times New Roman" w:cs="Times New Roman"/>
        </w:rPr>
        <w:t xml:space="preserve">__ г. </w:t>
      </w:r>
      <w:permEnd w:id="2"/>
      <w:r w:rsidRPr="00DD0C55">
        <w:rPr>
          <w:rFonts w:ascii="Times New Roman" w:hAnsi="Times New Roman" w:cs="Times New Roman"/>
          <w:bCs/>
        </w:rPr>
        <w:t>№ </w:t>
      </w:r>
      <w:permStart w:id="3" w:edGrp="everyone"/>
      <w:r w:rsidRPr="00DD0C55">
        <w:rPr>
          <w:rFonts w:ascii="Times New Roman" w:hAnsi="Times New Roman" w:cs="Times New Roman"/>
          <w:bCs/>
        </w:rPr>
        <w:t>_______________________</w:t>
      </w:r>
      <w:permEnd w:id="3"/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  <w:r w:rsidRPr="00DD0C55">
        <w:rPr>
          <w:rFonts w:ascii="Times New Roman" w:hAnsi="Times New Roman" w:cs="Times New Roman"/>
          <w:bCs/>
          <w:sz w:val="28"/>
        </w:rPr>
        <w:t>ПОДРЯДЧИК:</w:t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  <w:t>ЗАКАЗЧИК:</w:t>
      </w: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</w:rPr>
      </w:pP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  <w:t xml:space="preserve">Управляющий директор </w:t>
      </w: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</w:rPr>
      </w:pP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  <w:t>ПАО «ОДК-УМПО» </w:t>
      </w: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widowControl w:val="0"/>
        <w:spacing w:after="0" w:line="240" w:lineRule="auto"/>
        <w:ind w:right="567"/>
        <w:jc w:val="both"/>
        <w:rPr>
          <w:rFonts w:ascii="Times New Roman" w:hAnsi="Times New Roman" w:cs="Times New Roman"/>
          <w:bCs/>
          <w:sz w:val="28"/>
        </w:rPr>
      </w:pPr>
    </w:p>
    <w:p w:rsidR="0040674E" w:rsidRPr="00DD0C55" w:rsidRDefault="0040674E" w:rsidP="004067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</w:r>
      <w:r w:rsidRPr="00DD0C55">
        <w:rPr>
          <w:rFonts w:ascii="Times New Roman" w:hAnsi="Times New Roman" w:cs="Times New Roman"/>
          <w:bCs/>
          <w:sz w:val="28"/>
        </w:rPr>
        <w:tab/>
        <w:t xml:space="preserve"> __________ Е. А. </w:t>
      </w:r>
      <w:proofErr w:type="spellStart"/>
      <w:r w:rsidRPr="00DD0C55">
        <w:rPr>
          <w:rFonts w:ascii="Times New Roman" w:hAnsi="Times New Roman" w:cs="Times New Roman"/>
          <w:bCs/>
          <w:sz w:val="28"/>
        </w:rPr>
        <w:t>Семивеличенко</w:t>
      </w:r>
      <w:proofErr w:type="spellEnd"/>
    </w:p>
    <w:p w:rsidR="0040674E" w:rsidRDefault="0040674E" w:rsidP="00DB7E7D">
      <w:pPr>
        <w:pStyle w:val="1"/>
        <w:jc w:val="center"/>
        <w:rPr>
          <w:rStyle w:val="a6"/>
          <w:b/>
          <w:sz w:val="36"/>
          <w:szCs w:val="36"/>
        </w:rPr>
      </w:pPr>
    </w:p>
    <w:p w:rsidR="0040674E" w:rsidRDefault="0040674E" w:rsidP="00DB7E7D">
      <w:pPr>
        <w:pStyle w:val="1"/>
        <w:jc w:val="center"/>
        <w:rPr>
          <w:rStyle w:val="a6"/>
          <w:b/>
          <w:sz w:val="36"/>
          <w:szCs w:val="36"/>
        </w:rPr>
      </w:pPr>
    </w:p>
    <w:p w:rsidR="00DB7E7D" w:rsidRPr="004D6F61" w:rsidRDefault="00DB7E7D" w:rsidP="00DB7E7D">
      <w:pPr>
        <w:pStyle w:val="1"/>
        <w:jc w:val="center"/>
        <w:rPr>
          <w:rStyle w:val="a6"/>
          <w:b/>
          <w:sz w:val="36"/>
          <w:szCs w:val="36"/>
        </w:rPr>
      </w:pPr>
      <w:r w:rsidRPr="004D6F61">
        <w:rPr>
          <w:rStyle w:val="a6"/>
          <w:b/>
          <w:sz w:val="36"/>
          <w:szCs w:val="36"/>
        </w:rPr>
        <w:t>ТЕХНИЧЕСКОЕ ЗАДАНИЕ</w:t>
      </w:r>
    </w:p>
    <w:p w:rsidR="00815045" w:rsidRPr="004D6F61" w:rsidRDefault="00815045" w:rsidP="00DB7E7D">
      <w:pPr>
        <w:pStyle w:val="1"/>
        <w:jc w:val="center"/>
        <w:rPr>
          <w:b w:val="0"/>
          <w:sz w:val="36"/>
          <w:szCs w:val="36"/>
        </w:rPr>
      </w:pPr>
    </w:p>
    <w:p w:rsidR="00122966" w:rsidRPr="004D6F61" w:rsidRDefault="00DB7E7D" w:rsidP="00DB7E7D">
      <w:pPr>
        <w:jc w:val="center"/>
        <w:rPr>
          <w:rFonts w:ascii="Times New Roman" w:hAnsi="Times New Roman" w:cs="Times New Roman"/>
          <w:sz w:val="28"/>
          <w:szCs w:val="28"/>
        </w:rPr>
      </w:pPr>
      <w:r w:rsidRPr="004D6F61">
        <w:rPr>
          <w:rStyle w:val="a6"/>
          <w:rFonts w:eastAsiaTheme="minorHAnsi"/>
          <w:bCs w:val="0"/>
        </w:rPr>
        <w:t>на разработку проектной документации «Капитальный ремонт подземных переходов здания АБЧ корпус 75</w:t>
      </w:r>
      <w:r w:rsidRPr="004D6F61">
        <w:rPr>
          <w:rStyle w:val="a6"/>
          <w:rFonts w:eastAsiaTheme="minorHAnsi"/>
          <w:bCs w:val="0"/>
        </w:rPr>
        <w:br/>
        <w:t xml:space="preserve">ПАО “ОДК-УМПО”, г. Уфа, ул. </w:t>
      </w:r>
      <w:proofErr w:type="spellStart"/>
      <w:r w:rsidRPr="004D6F61">
        <w:rPr>
          <w:rStyle w:val="a6"/>
          <w:rFonts w:eastAsiaTheme="minorHAnsi"/>
          <w:bCs w:val="0"/>
        </w:rPr>
        <w:t>Ферина</w:t>
      </w:r>
      <w:proofErr w:type="spellEnd"/>
      <w:r w:rsidRPr="004D6F61">
        <w:rPr>
          <w:rStyle w:val="a6"/>
          <w:rFonts w:eastAsiaTheme="minorHAnsi"/>
          <w:bCs w:val="0"/>
        </w:rPr>
        <w:t>, д. 2»</w:t>
      </w:r>
    </w:p>
    <w:tbl>
      <w:tblPr>
        <w:tblStyle w:val="a3"/>
        <w:tblW w:w="0" w:type="auto"/>
        <w:tblLook w:val="04A0"/>
      </w:tblPr>
      <w:tblGrid>
        <w:gridCol w:w="958"/>
        <w:gridCol w:w="2539"/>
        <w:gridCol w:w="5848"/>
      </w:tblGrid>
      <w:tr w:rsidR="004D6F61" w:rsidRPr="004D6F61" w:rsidTr="0038385D">
        <w:tc>
          <w:tcPr>
            <w:tcW w:w="958" w:type="dxa"/>
          </w:tcPr>
          <w:p w:rsidR="00122966" w:rsidRPr="004D6F61" w:rsidRDefault="00122966" w:rsidP="0012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F61">
              <w:rPr>
                <w:rFonts w:ascii="Times New Roman" w:hAnsi="Times New Roman" w:cs="Times New Roman"/>
                <w:b/>
              </w:rPr>
              <w:t>№</w:t>
            </w:r>
          </w:p>
          <w:p w:rsidR="00122966" w:rsidRPr="004D6F61" w:rsidRDefault="00122966" w:rsidP="0012296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D6F61">
              <w:rPr>
                <w:rFonts w:ascii="Times New Roman" w:hAnsi="Times New Roman" w:cs="Times New Roman"/>
                <w:b/>
              </w:rPr>
              <w:t>пп</w:t>
            </w:r>
            <w:proofErr w:type="spellEnd"/>
          </w:p>
        </w:tc>
        <w:tc>
          <w:tcPr>
            <w:tcW w:w="2539" w:type="dxa"/>
          </w:tcPr>
          <w:p w:rsidR="00122966" w:rsidRPr="004D6F61" w:rsidRDefault="00122966" w:rsidP="0012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F61">
              <w:rPr>
                <w:rFonts w:ascii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5848" w:type="dxa"/>
          </w:tcPr>
          <w:p w:rsidR="00122966" w:rsidRPr="004D6F61" w:rsidRDefault="00122966" w:rsidP="0012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F61">
              <w:rPr>
                <w:rFonts w:ascii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4D6F61" w:rsidRPr="004D6F61" w:rsidTr="0068226D">
        <w:tc>
          <w:tcPr>
            <w:tcW w:w="9345" w:type="dxa"/>
            <w:gridSpan w:val="3"/>
          </w:tcPr>
          <w:p w:rsidR="00122966" w:rsidRPr="004D6F61" w:rsidRDefault="00122966" w:rsidP="001229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6F61">
              <w:rPr>
                <w:rFonts w:ascii="Times New Roman" w:hAnsi="Times New Roman" w:cs="Times New Roman"/>
                <w:b/>
                <w:lang w:val="en-US"/>
              </w:rPr>
              <w:t>I.</w:t>
            </w:r>
            <w:r w:rsidRPr="004D6F61">
              <w:rPr>
                <w:rFonts w:ascii="Times New Roman" w:hAnsi="Times New Roman" w:cs="Times New Roman"/>
                <w:b/>
              </w:rPr>
              <w:t xml:space="preserve"> Общие данные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pStyle w:val="a8"/>
              <w:tabs>
                <w:tab w:val="left" w:pos="2582"/>
              </w:tabs>
              <w:jc w:val="both"/>
            </w:pPr>
            <w:r w:rsidRPr="004D6F61">
              <w:rPr>
                <w:rStyle w:val="a7"/>
              </w:rPr>
              <w:t>Основание для</w:t>
            </w:r>
          </w:p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проектирования</w:t>
            </w:r>
          </w:p>
        </w:tc>
        <w:tc>
          <w:tcPr>
            <w:tcW w:w="5848" w:type="dxa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Решение Заказчика</w:t>
            </w:r>
          </w:p>
        </w:tc>
      </w:tr>
      <w:tr w:rsidR="004D6F61" w:rsidRPr="004D6F61" w:rsidTr="0038385D">
        <w:trPr>
          <w:trHeight w:val="992"/>
        </w:trPr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1.2</w:t>
            </w:r>
          </w:p>
        </w:tc>
        <w:tc>
          <w:tcPr>
            <w:tcW w:w="2539" w:type="dxa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Заказчик (Застройщик)</w:t>
            </w:r>
          </w:p>
        </w:tc>
        <w:tc>
          <w:tcPr>
            <w:tcW w:w="5848" w:type="dxa"/>
            <w:vAlign w:val="bottom"/>
          </w:tcPr>
          <w:p w:rsidR="00DB7E7D" w:rsidRPr="004D6F61" w:rsidRDefault="00DB7E7D" w:rsidP="00DB7E7D">
            <w:pPr>
              <w:pStyle w:val="a8"/>
            </w:pPr>
            <w:r w:rsidRPr="004D6F61">
              <w:rPr>
                <w:rStyle w:val="a7"/>
              </w:rPr>
              <w:t>ПАО «ОДК - Уфимское моторостроительное производственное объединение»</w:t>
            </w:r>
          </w:p>
          <w:p w:rsidR="00DB7E7D" w:rsidRPr="004D6F61" w:rsidRDefault="00DB7E7D" w:rsidP="00315BC4">
            <w:pPr>
              <w:pStyle w:val="a8"/>
              <w:tabs>
                <w:tab w:val="left" w:pos="6240"/>
              </w:tabs>
            </w:pPr>
            <w:r w:rsidRPr="004D6F61">
              <w:rPr>
                <w:rStyle w:val="a7"/>
              </w:rPr>
              <w:t>450039, Республика Башкортостан, ГО г. Уфа, ул.</w:t>
            </w:r>
            <w:r w:rsidRPr="004D6F61">
              <w:t xml:space="preserve"> </w:t>
            </w:r>
            <w:proofErr w:type="spellStart"/>
            <w:r w:rsidRPr="004D6F61">
              <w:rPr>
                <w:rStyle w:val="a7"/>
              </w:rPr>
              <w:t>Ферина</w:t>
            </w:r>
            <w:proofErr w:type="spellEnd"/>
            <w:r w:rsidRPr="004D6F61">
              <w:rPr>
                <w:rStyle w:val="a7"/>
              </w:rPr>
              <w:t>, д. 2.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1.3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Местоположение объекта (город, площадка, адрес)</w:t>
            </w:r>
          </w:p>
        </w:tc>
        <w:tc>
          <w:tcPr>
            <w:tcW w:w="5848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РФ, РБ, ГО г. Уфа, ул. </w:t>
            </w:r>
            <w:proofErr w:type="spellStart"/>
            <w:r w:rsidRPr="004D6F61">
              <w:rPr>
                <w:rStyle w:val="a7"/>
                <w:rFonts w:eastAsiaTheme="minorHAnsi"/>
              </w:rPr>
              <w:t>Ферина</w:t>
            </w:r>
            <w:proofErr w:type="spellEnd"/>
            <w:r w:rsidRPr="004D6F61">
              <w:rPr>
                <w:rStyle w:val="a7"/>
                <w:rFonts w:eastAsiaTheme="minorHAnsi"/>
              </w:rPr>
              <w:t>, д. 2, корпус 75б, площадка 1 ПАО «ОДК - УМПО»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1.4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Проектная организация (генеральный проектировщик)</w:t>
            </w:r>
          </w:p>
        </w:tc>
        <w:tc>
          <w:tcPr>
            <w:tcW w:w="5848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Определяется по итогам конкурса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1.5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Вид работ: (строительство, реконструкция, капитальный ремонт)</w:t>
            </w:r>
          </w:p>
        </w:tc>
        <w:tc>
          <w:tcPr>
            <w:tcW w:w="5848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Капитальный ремонт</w:t>
            </w:r>
          </w:p>
        </w:tc>
      </w:tr>
      <w:tr w:rsidR="004D6F61" w:rsidRPr="004D6F61" w:rsidTr="0038385D">
        <w:tc>
          <w:tcPr>
            <w:tcW w:w="958" w:type="dxa"/>
            <w:vAlign w:val="bottom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1.6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Источник финансирования</w:t>
            </w:r>
          </w:p>
        </w:tc>
        <w:tc>
          <w:tcPr>
            <w:tcW w:w="5848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  <w:highlight w:val="yellow"/>
              </w:rPr>
            </w:pPr>
            <w:r w:rsidRPr="004D6F61">
              <w:rPr>
                <w:rStyle w:val="a7"/>
                <w:rFonts w:eastAsiaTheme="minorHAnsi"/>
              </w:rPr>
              <w:t>Собственные средства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1.7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315BC4">
            <w:pPr>
              <w:pStyle w:val="a8"/>
              <w:tabs>
                <w:tab w:val="left" w:pos="1690"/>
              </w:tabs>
              <w:jc w:val="both"/>
            </w:pPr>
            <w:r w:rsidRPr="004D6F61">
              <w:rPr>
                <w:rStyle w:val="a7"/>
              </w:rPr>
              <w:t>Технические условия на подключение</w:t>
            </w:r>
            <w:r w:rsidR="00315BC4" w:rsidRPr="004D6F61">
              <w:rPr>
                <w:rStyle w:val="a7"/>
              </w:rPr>
              <w:t xml:space="preserve"> </w:t>
            </w:r>
            <w:r w:rsidRPr="004D6F61">
              <w:rPr>
                <w:rStyle w:val="a7"/>
              </w:rPr>
              <w:t>(присоединение) объекта к сетям</w:t>
            </w:r>
            <w:r w:rsidR="00315BC4" w:rsidRPr="004D6F61">
              <w:rPr>
                <w:rStyle w:val="a7"/>
              </w:rPr>
              <w:t xml:space="preserve"> </w:t>
            </w:r>
            <w:r w:rsidRPr="004D6F61">
              <w:rPr>
                <w:rStyle w:val="a7"/>
              </w:rPr>
              <w:t>инженерно</w:t>
            </w:r>
            <w:r w:rsidR="00315BC4" w:rsidRPr="004D6F61">
              <w:rPr>
                <w:rStyle w:val="a7"/>
              </w:rPr>
              <w:t>-т</w:t>
            </w:r>
            <w:r w:rsidRPr="004D6F61">
              <w:rPr>
                <w:rStyle w:val="a7"/>
              </w:rPr>
              <w:t>ехнического обеспечения:</w:t>
            </w:r>
          </w:p>
        </w:tc>
        <w:tc>
          <w:tcPr>
            <w:tcW w:w="5848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Технические условия на подключение к сетям </w:t>
            </w:r>
            <w:proofErr w:type="spellStart"/>
            <w:r w:rsidRPr="004D6F61">
              <w:rPr>
                <w:rStyle w:val="a7"/>
                <w:rFonts w:eastAsiaTheme="minorHAnsi"/>
              </w:rPr>
              <w:t>инженерно</w:t>
            </w:r>
            <w:r w:rsidRPr="004D6F61">
              <w:rPr>
                <w:rStyle w:val="a7"/>
                <w:rFonts w:eastAsiaTheme="minorHAnsi"/>
              </w:rPr>
              <w:softHyphen/>
              <w:t>технического</w:t>
            </w:r>
            <w:proofErr w:type="spellEnd"/>
            <w:r w:rsidRPr="004D6F61">
              <w:rPr>
                <w:rStyle w:val="a7"/>
                <w:rFonts w:eastAsiaTheme="minorHAnsi"/>
              </w:rPr>
              <w:t xml:space="preserve"> обеспечения предоставляются Заказчиком по запросу Проектировщика.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1.8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315BC4">
            <w:pPr>
              <w:pStyle w:val="a8"/>
              <w:jc w:val="both"/>
            </w:pPr>
            <w:r w:rsidRPr="004D6F61">
              <w:rPr>
                <w:rStyle w:val="a7"/>
              </w:rPr>
              <w:t xml:space="preserve">Требования к выделению этапов </w:t>
            </w:r>
            <w:r w:rsidRPr="004D6F61">
              <w:rPr>
                <w:rStyle w:val="a7"/>
              </w:rPr>
              <w:lastRenderedPageBreak/>
              <w:t>строительства</w:t>
            </w:r>
          </w:p>
        </w:tc>
        <w:tc>
          <w:tcPr>
            <w:tcW w:w="5848" w:type="dxa"/>
            <w:vAlign w:val="bottom"/>
          </w:tcPr>
          <w:p w:rsidR="00DB7E7D" w:rsidRPr="004D6F61" w:rsidRDefault="00DB7E7D" w:rsidP="00DB7E7D">
            <w:pPr>
              <w:pStyle w:val="a8"/>
            </w:pPr>
            <w:r w:rsidRPr="004D6F61">
              <w:lastRenderedPageBreak/>
              <w:t>В один этап</w:t>
            </w:r>
          </w:p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1.9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pStyle w:val="a8"/>
              <w:rPr>
                <w:rStyle w:val="a7"/>
              </w:rPr>
            </w:pPr>
            <w:r w:rsidRPr="004D6F61">
              <w:rPr>
                <w:rStyle w:val="a7"/>
              </w:rPr>
              <w:t xml:space="preserve">Вид и стадия проектирования </w:t>
            </w:r>
          </w:p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8" w:type="dxa"/>
            <w:vAlign w:val="bottom"/>
          </w:tcPr>
          <w:p w:rsidR="00DB7E7D" w:rsidRPr="004D6F61" w:rsidRDefault="00DB7E7D" w:rsidP="00DB7E7D">
            <w:pPr>
              <w:pStyle w:val="a8"/>
              <w:numPr>
                <w:ilvl w:val="0"/>
                <w:numId w:val="4"/>
              </w:numPr>
              <w:rPr>
                <w:rStyle w:val="a7"/>
              </w:rPr>
            </w:pPr>
            <w:proofErr w:type="spellStart"/>
            <w:r w:rsidRPr="004D6F61">
              <w:rPr>
                <w:rStyle w:val="a7"/>
              </w:rPr>
              <w:t>Обмерно-обследовательские</w:t>
            </w:r>
            <w:proofErr w:type="spellEnd"/>
            <w:r w:rsidRPr="004D6F61">
              <w:rPr>
                <w:rStyle w:val="a7"/>
              </w:rPr>
              <w:t xml:space="preserve"> работы. </w:t>
            </w:r>
          </w:p>
          <w:p w:rsidR="00DB7E7D" w:rsidRPr="004D6F61" w:rsidRDefault="00DB7E7D" w:rsidP="00DB7E7D">
            <w:pPr>
              <w:pStyle w:val="a8"/>
              <w:numPr>
                <w:ilvl w:val="0"/>
                <w:numId w:val="4"/>
              </w:numPr>
              <w:rPr>
                <w:rStyle w:val="a7"/>
              </w:rPr>
            </w:pPr>
            <w:r w:rsidRPr="004D6F61">
              <w:rPr>
                <w:rStyle w:val="a7"/>
              </w:rPr>
              <w:t>Рабочая документация</w:t>
            </w:r>
            <w:r w:rsidR="00476026" w:rsidRPr="004D6F61">
              <w:rPr>
                <w:rStyle w:val="a7"/>
              </w:rPr>
              <w:t>, в том числе проектно</w:t>
            </w:r>
            <w:r w:rsidRPr="004D6F61">
              <w:rPr>
                <w:rStyle w:val="a7"/>
              </w:rPr>
              <w:t>-сметная документация</w:t>
            </w:r>
            <w:r w:rsidR="00476026" w:rsidRPr="004D6F61">
              <w:rPr>
                <w:rStyle w:val="a7"/>
              </w:rPr>
              <w:t>.</w:t>
            </w:r>
            <w:r w:rsidRPr="004D6F61">
              <w:rPr>
                <w:rStyle w:val="a7"/>
              </w:rPr>
              <w:t xml:space="preserve">  </w:t>
            </w:r>
          </w:p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1.10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315BC4">
            <w:pPr>
              <w:pStyle w:val="a8"/>
            </w:pPr>
            <w:r w:rsidRPr="004D6F61">
              <w:rPr>
                <w:rStyle w:val="a7"/>
              </w:rPr>
              <w:t>Срок строительства объекта</w:t>
            </w:r>
          </w:p>
        </w:tc>
        <w:tc>
          <w:tcPr>
            <w:tcW w:w="5848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2024-2025 гг.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1.11</w:t>
            </w:r>
          </w:p>
        </w:tc>
        <w:tc>
          <w:tcPr>
            <w:tcW w:w="2539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Основные показания объекта  </w:t>
            </w:r>
          </w:p>
        </w:tc>
        <w:tc>
          <w:tcPr>
            <w:tcW w:w="5848" w:type="dxa"/>
            <w:vAlign w:val="bottom"/>
          </w:tcPr>
          <w:p w:rsidR="00DB7E7D" w:rsidRPr="004D6F61" w:rsidRDefault="00DB7E7D" w:rsidP="00DB7E7D">
            <w:pPr>
              <w:pStyle w:val="a8"/>
              <w:numPr>
                <w:ilvl w:val="0"/>
                <w:numId w:val="5"/>
              </w:numPr>
              <w:tabs>
                <w:tab w:val="left" w:pos="216"/>
              </w:tabs>
            </w:pPr>
            <w:r w:rsidRPr="004D6F61">
              <w:rPr>
                <w:rStyle w:val="a7"/>
              </w:rPr>
              <w:t>Характеристики существующего здания</w:t>
            </w:r>
          </w:p>
          <w:p w:rsidR="00DB7E7D" w:rsidRPr="004D6F61" w:rsidRDefault="00DB7E7D" w:rsidP="005C0BFE">
            <w:pPr>
              <w:pStyle w:val="a8"/>
              <w:tabs>
                <w:tab w:val="left" w:pos="701"/>
              </w:tabs>
            </w:pPr>
            <w:r w:rsidRPr="004D6F61">
              <w:rPr>
                <w:rStyle w:val="a7"/>
              </w:rPr>
              <w:t>Объект капитального ремонта - подземное сооружение, переход, обеспечивающий коммуникационное сообщение между корпусами</w:t>
            </w:r>
            <w:r w:rsidRPr="004D6F61">
              <w:rPr>
                <w:rStyle w:val="a7"/>
                <w:b/>
                <w:bCs/>
              </w:rPr>
              <w:t xml:space="preserve"> </w:t>
            </w:r>
            <w:r w:rsidRPr="004D6F61">
              <w:rPr>
                <w:rStyle w:val="a7"/>
              </w:rPr>
              <w:t>предприятия. Переход не является путем эвакуации.</w:t>
            </w:r>
            <w:r w:rsidRPr="004D6F61">
              <w:rPr>
                <w:rStyle w:val="a7"/>
              </w:rPr>
              <w:br/>
              <w:t>Переход №1 помещение согласно план</w:t>
            </w:r>
            <w:r w:rsidR="00B650C9" w:rsidRPr="004D6F61">
              <w:rPr>
                <w:rStyle w:val="a7"/>
              </w:rPr>
              <w:t>а</w:t>
            </w:r>
            <w:r w:rsidRPr="004D6F61">
              <w:rPr>
                <w:rStyle w:val="a7"/>
              </w:rPr>
              <w:t xml:space="preserve"> БТИ 163, 162                        (см приложение №1 к ТЗ)                </w:t>
            </w:r>
            <w:r w:rsidRPr="004D6F61">
              <w:rPr>
                <w:rStyle w:val="a7"/>
              </w:rPr>
              <w:br/>
              <w:t>Переход №2 помещение согласно плана БТИ 152                              (см приложение №</w:t>
            </w:r>
            <w:r w:rsidR="00B650C9" w:rsidRPr="004D6F61">
              <w:rPr>
                <w:rStyle w:val="a7"/>
              </w:rPr>
              <w:t>2</w:t>
            </w:r>
            <w:r w:rsidRPr="004D6F61">
              <w:rPr>
                <w:rStyle w:val="a7"/>
              </w:rPr>
              <w:t xml:space="preserve"> к ТЗ)</w:t>
            </w:r>
            <w:r w:rsidRPr="004D6F61">
              <w:rPr>
                <w:rStyle w:val="a7"/>
              </w:rPr>
              <w:br/>
            </w:r>
            <w:r w:rsidRPr="004D6F61">
              <w:t>Общая площадь проектируемых площадь 416 м</w:t>
            </w:r>
            <w:r w:rsidR="00B650C9" w:rsidRPr="004D6F61">
              <w:rPr>
                <w:vertAlign w:val="superscript"/>
              </w:rPr>
              <w:t>2</w:t>
            </w:r>
            <w:r w:rsidR="00B650C9" w:rsidRPr="004D6F61">
              <w:t>.</w:t>
            </w:r>
            <w:r w:rsidRPr="004D6F61">
              <w:t xml:space="preserve"> </w:t>
            </w:r>
          </w:p>
          <w:p w:rsidR="00DB7E7D" w:rsidRPr="004D6F61" w:rsidRDefault="00DB7E7D" w:rsidP="00B650C9">
            <w:pPr>
              <w:pStyle w:val="a8"/>
              <w:tabs>
                <w:tab w:val="left" w:pos="701"/>
              </w:tabs>
              <w:jc w:val="both"/>
            </w:pPr>
            <w:r w:rsidRPr="004D6F61">
              <w:t>Предполагаемый строительный объем переходов 1522,4 м</w:t>
            </w:r>
            <w:r w:rsidR="00B650C9" w:rsidRPr="004D6F61">
              <w:rPr>
                <w:vertAlign w:val="superscript"/>
              </w:rPr>
              <w:t>3</w:t>
            </w:r>
            <w:r w:rsidR="00B650C9" w:rsidRPr="004D6F61">
              <w:t>.</w:t>
            </w:r>
            <w:r w:rsidRPr="004D6F61">
              <w:t xml:space="preserve">  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</w:t>
            </w:r>
          </w:p>
        </w:tc>
        <w:tc>
          <w:tcPr>
            <w:tcW w:w="8387" w:type="dxa"/>
            <w:gridSpan w:val="2"/>
            <w:vAlign w:val="bottom"/>
          </w:tcPr>
          <w:p w:rsidR="00DB7E7D" w:rsidRPr="004D6F61" w:rsidRDefault="00DB7E7D" w:rsidP="00DB7E7D">
            <w:pPr>
              <w:pStyle w:val="a8"/>
              <w:tabs>
                <w:tab w:val="left" w:pos="9130"/>
              </w:tabs>
            </w:pPr>
            <w:r w:rsidRPr="004D6F61">
              <w:rPr>
                <w:rStyle w:val="a7"/>
              </w:rPr>
              <w:t>Идентификационные признаки объекта устанавливаются в соответствии со ст. 4</w:t>
            </w:r>
          </w:p>
          <w:p w:rsidR="00DB7E7D" w:rsidRPr="004D6F61" w:rsidRDefault="00DB7E7D" w:rsidP="00DB7E7D">
            <w:pPr>
              <w:pStyle w:val="a8"/>
              <w:tabs>
                <w:tab w:val="left" w:pos="8323"/>
              </w:tabs>
            </w:pPr>
            <w:r w:rsidRPr="004D6F61">
              <w:rPr>
                <w:rStyle w:val="a7"/>
              </w:rPr>
              <w:t>384-ФЗ "Технический регламент о безопасности зданий и сооружений" и включают</w:t>
            </w:r>
          </w:p>
          <w:p w:rsidR="00DB7E7D" w:rsidRPr="004D6F61" w:rsidRDefault="00DB7E7D" w:rsidP="00DB7E7D">
            <w:pPr>
              <w:rPr>
                <w:rFonts w:ascii="Times New Roman" w:hAnsi="Times New Roman" w:cs="Times New Roman"/>
                <w:highlight w:val="yellow"/>
              </w:rPr>
            </w:pPr>
            <w:r w:rsidRPr="004D6F61">
              <w:rPr>
                <w:rStyle w:val="a7"/>
                <w:rFonts w:eastAsiaTheme="minorHAnsi"/>
              </w:rPr>
              <w:t>в себя:</w:t>
            </w:r>
          </w:p>
        </w:tc>
      </w:tr>
      <w:tr w:rsidR="004D6F61" w:rsidRPr="004D6F61" w:rsidTr="0038385D">
        <w:tc>
          <w:tcPr>
            <w:tcW w:w="958" w:type="dxa"/>
            <w:vAlign w:val="bottom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1.12.1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Назначение:</w:t>
            </w:r>
          </w:p>
        </w:tc>
        <w:tc>
          <w:tcPr>
            <w:tcW w:w="5848" w:type="dxa"/>
            <w:vAlign w:val="bottom"/>
          </w:tcPr>
          <w:p w:rsidR="00DB7E7D" w:rsidRPr="004D6F61" w:rsidRDefault="00B650C9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подземное сооружение -</w:t>
            </w:r>
            <w:r w:rsidRPr="004D6F61">
              <w:t xml:space="preserve"> </w:t>
            </w:r>
            <w:r w:rsidRPr="004D6F61">
              <w:rPr>
                <w:rStyle w:val="a7"/>
                <w:rFonts w:eastAsiaTheme="minorHAnsi"/>
              </w:rPr>
              <w:t>переход, обеспечивающий коммуникационное сообщение между корпусами предприятия., переход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1.12.2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Принадлежность к объектам транспортной инфраструктуры и к другим объектам, </w:t>
            </w:r>
            <w:proofErr w:type="spellStart"/>
            <w:r w:rsidRPr="004D6F61">
              <w:rPr>
                <w:rStyle w:val="a7"/>
                <w:rFonts w:eastAsiaTheme="minorHAnsi"/>
              </w:rPr>
              <w:t>функционально</w:t>
            </w:r>
            <w:r w:rsidRPr="004D6F61">
              <w:rPr>
                <w:rStyle w:val="a7"/>
                <w:rFonts w:eastAsiaTheme="minorHAnsi"/>
              </w:rPr>
              <w:softHyphen/>
              <w:t>технологические</w:t>
            </w:r>
            <w:proofErr w:type="spellEnd"/>
            <w:r w:rsidRPr="004D6F61">
              <w:rPr>
                <w:rStyle w:val="a7"/>
                <w:rFonts w:eastAsiaTheme="minorHAnsi"/>
              </w:rPr>
              <w:t xml:space="preserve"> особенности которых влияют на их безопасность:</w:t>
            </w:r>
          </w:p>
        </w:tc>
        <w:tc>
          <w:tcPr>
            <w:tcW w:w="5848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Отсутствует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DB7E7D" w:rsidRPr="004D6F61" w:rsidRDefault="00DB7E7D" w:rsidP="00DB7E7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1.12.3</w:t>
            </w:r>
          </w:p>
        </w:tc>
        <w:tc>
          <w:tcPr>
            <w:tcW w:w="2539" w:type="dxa"/>
            <w:vAlign w:val="bottom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Возможность возникновения опасных природных процессов и явлений и техногенных воздействий на территории, на которой будет осуществляться строительство объекта:</w:t>
            </w:r>
          </w:p>
        </w:tc>
        <w:tc>
          <w:tcPr>
            <w:tcW w:w="5848" w:type="dxa"/>
            <w:vAlign w:val="center"/>
          </w:tcPr>
          <w:p w:rsidR="00DB7E7D" w:rsidRPr="004D6F61" w:rsidRDefault="00DB7E7D" w:rsidP="00DB7E7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Отсутствует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1.12.4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pStyle w:val="a8"/>
            </w:pPr>
            <w:r w:rsidRPr="004D6F61">
              <w:rPr>
                <w:rStyle w:val="a7"/>
              </w:rPr>
              <w:t>Принадлежность к опасным производственным объектам: (при принадлежности объекта к опасным производственным объектам также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указываются категория и класс опасности объекта)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Отсутствует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1.12.5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Пожарная и взрывопожарная опасность:</w:t>
            </w:r>
          </w:p>
        </w:tc>
        <w:tc>
          <w:tcPr>
            <w:tcW w:w="5848" w:type="dxa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Определить проектом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1.12.6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Наличие помещений с постоянным </w:t>
            </w:r>
            <w:r w:rsidRPr="004D6F61">
              <w:rPr>
                <w:rStyle w:val="a7"/>
                <w:rFonts w:eastAsiaTheme="minorHAnsi"/>
              </w:rPr>
              <w:lastRenderedPageBreak/>
              <w:t>пребыванием людей: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Отсутствует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1.12.7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Уровень ответственности (согласно п.7 ч.1 и ч.7 ст. 4 </w:t>
            </w:r>
            <w:r w:rsidRPr="004D6F61">
              <w:rPr>
                <w:rStyle w:val="a7"/>
                <w:rFonts w:eastAsiaTheme="minorHAnsi"/>
                <w:lang w:val="en-US" w:bidi="en-US"/>
              </w:rPr>
              <w:t>N</w:t>
            </w:r>
            <w:r w:rsidRPr="004D6F61">
              <w:rPr>
                <w:rStyle w:val="a7"/>
                <w:rFonts w:eastAsiaTheme="minorHAnsi"/>
                <w:lang w:bidi="en-US"/>
              </w:rPr>
              <w:t xml:space="preserve"> </w:t>
            </w:r>
            <w:r w:rsidRPr="004D6F61">
              <w:rPr>
                <w:rStyle w:val="a7"/>
                <w:rFonts w:eastAsiaTheme="minorHAnsi"/>
              </w:rPr>
              <w:t>384-ФЗ "Технический регламент о безопасности зданий и сооружений":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  <w:r w:rsidRPr="004D6F61">
              <w:rPr>
                <w:rStyle w:val="a7"/>
                <w:rFonts w:eastAsiaTheme="minorHAnsi"/>
              </w:rPr>
              <w:t>-II (нормальный)</w:t>
            </w:r>
          </w:p>
        </w:tc>
      </w:tr>
      <w:tr w:rsidR="004D6F61" w:rsidRPr="004D6F61" w:rsidTr="0038385D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1.14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Требования к качеству, конкурентоспособности, экологичности и энергоэффективности проектных решений: 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Применяемые в проектной документации решения, оборудование, материалы и изделия должны соответствовать тре</w:t>
            </w:r>
            <w:r w:rsidR="00B879A5">
              <w:rPr>
                <w:rStyle w:val="a7"/>
                <w:rFonts w:eastAsiaTheme="minorHAnsi"/>
              </w:rPr>
              <w:t>бованиям по качеству, конкурент</w:t>
            </w:r>
            <w:r w:rsidRPr="004D6F61">
              <w:rPr>
                <w:rStyle w:val="a7"/>
                <w:rFonts w:eastAsiaTheme="minorHAnsi"/>
              </w:rPr>
              <w:t xml:space="preserve">оспособности, </w:t>
            </w:r>
            <w:proofErr w:type="spellStart"/>
            <w:r w:rsidRPr="004D6F61">
              <w:rPr>
                <w:rStyle w:val="a7"/>
                <w:rFonts w:eastAsiaTheme="minorHAnsi"/>
              </w:rPr>
              <w:t>экологичности</w:t>
            </w:r>
            <w:proofErr w:type="spellEnd"/>
            <w:r w:rsidRPr="004D6F61">
              <w:rPr>
                <w:rStyle w:val="a7"/>
                <w:rFonts w:eastAsiaTheme="minorHAnsi"/>
              </w:rPr>
              <w:t xml:space="preserve"> и </w:t>
            </w:r>
            <w:proofErr w:type="spellStart"/>
            <w:r w:rsidRPr="004D6F61">
              <w:rPr>
                <w:rStyle w:val="a7"/>
                <w:rFonts w:eastAsiaTheme="minorHAnsi"/>
              </w:rPr>
              <w:t>энергоэффективности</w:t>
            </w:r>
            <w:proofErr w:type="spellEnd"/>
            <w:r w:rsidR="00B879A5">
              <w:rPr>
                <w:rStyle w:val="a7"/>
                <w:rFonts w:eastAsiaTheme="minorHAnsi"/>
              </w:rPr>
              <w:t>.</w:t>
            </w:r>
          </w:p>
        </w:tc>
      </w:tr>
      <w:tr w:rsidR="004D6F61" w:rsidRPr="004D6F61" w:rsidTr="008355BE">
        <w:tc>
          <w:tcPr>
            <w:tcW w:w="9345" w:type="dxa"/>
            <w:gridSpan w:val="3"/>
          </w:tcPr>
          <w:p w:rsidR="0038385D" w:rsidRPr="004D6F61" w:rsidRDefault="0038385D" w:rsidP="00815045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  <w:b/>
                <w:bCs/>
              </w:rPr>
              <w:t>2. Требования к проектным решениям</w:t>
            </w:r>
          </w:p>
        </w:tc>
      </w:tr>
      <w:tr w:rsidR="004D6F61" w:rsidRPr="004D6F61" w:rsidTr="00FD7031">
        <w:tc>
          <w:tcPr>
            <w:tcW w:w="958" w:type="dxa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2.1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проведению работ по обследованию.</w:t>
            </w:r>
          </w:p>
        </w:tc>
        <w:tc>
          <w:tcPr>
            <w:tcW w:w="5848" w:type="dxa"/>
            <w:vAlign w:val="bottom"/>
          </w:tcPr>
          <w:p w:rsidR="004D6F61" w:rsidRPr="004D6F61" w:rsidRDefault="004D6F61" w:rsidP="004D6F6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Проектная организация выполняет работы по обследованию строительных конструкций и инженерных коммуникаций, обмерные работы подземных переходов.</w:t>
            </w:r>
            <w:r w:rsidRPr="004D6F61">
              <w:rPr>
                <w:rStyle w:val="a7"/>
                <w:rFonts w:eastAsiaTheme="minorHAnsi"/>
              </w:rPr>
              <w:br/>
            </w:r>
            <w:r w:rsidRPr="004D6F61">
              <w:rPr>
                <w:rFonts w:ascii="Times New Roman" w:hAnsi="Times New Roman" w:cs="Times New Roman"/>
                <w:shd w:val="clear" w:color="auto" w:fill="FFFFFF"/>
              </w:rPr>
              <w:t xml:space="preserve">Цель  обследования технического состояния: определить действительное техническое состояние перехода и его элементов, для установления состава и объема работ проведения капитального ремонта. </w:t>
            </w:r>
            <w:r w:rsidRPr="004D6F61">
              <w:rPr>
                <w:rFonts w:ascii="Times New Roman" w:hAnsi="Times New Roman" w:cs="Times New Roman"/>
              </w:rPr>
              <w:br/>
            </w:r>
            <w:r w:rsidRPr="004D6F61">
              <w:rPr>
                <w:rFonts w:ascii="Times New Roman" w:hAnsi="Times New Roman" w:cs="Times New Roman"/>
                <w:shd w:val="clear" w:color="auto" w:fill="FFFFFF"/>
              </w:rPr>
              <w:t>При обследовании технического состояния перехода получаемая информация должна быть достаточной для проведения капитального ремонта объекта, в том числе инженерного оборудования.</w:t>
            </w:r>
            <w:r w:rsidRPr="004D6F61">
              <w:rPr>
                <w:rFonts w:ascii="Times New Roman" w:hAnsi="Times New Roman" w:cs="Times New Roman"/>
                <w:shd w:val="clear" w:color="auto" w:fill="FFFFFF"/>
              </w:rPr>
              <w:br/>
            </w:r>
            <w:r w:rsidRPr="004D6F61">
              <w:rPr>
                <w:rFonts w:ascii="Times New Roman" w:eastAsia="Times New Roman" w:hAnsi="Times New Roman" w:cs="Times New Roman"/>
              </w:rPr>
              <w:t>1. Обследование технического состояния проводить в следующей последовательности:</w:t>
            </w:r>
            <w:r w:rsidRPr="004D6F61">
              <w:rPr>
                <w:rFonts w:ascii="Times New Roman" w:eastAsia="Times New Roman" w:hAnsi="Times New Roman" w:cs="Times New Roman"/>
              </w:rPr>
              <w:br/>
              <w:t>1.1. Подготовка к проведению обследования;</w:t>
            </w:r>
            <w:r w:rsidRPr="004D6F61">
              <w:rPr>
                <w:rFonts w:ascii="Times New Roman" w:eastAsia="Times New Roman" w:hAnsi="Times New Roman" w:cs="Times New Roman"/>
              </w:rPr>
              <w:br/>
              <w:t>1.2. Предварительное (визуальное) обследование;</w:t>
            </w:r>
            <w:r w:rsidRPr="004D6F61">
              <w:rPr>
                <w:rFonts w:ascii="Times New Roman" w:eastAsia="Times New Roman" w:hAnsi="Times New Roman" w:cs="Times New Roman"/>
              </w:rPr>
              <w:br/>
              <w:t>1.3. Детальное (инструментальное) обследование.</w:t>
            </w:r>
          </w:p>
          <w:p w:rsidR="004D6F61" w:rsidRPr="004D6F61" w:rsidRDefault="004D6F61" w:rsidP="004D6F61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shd w:val="clear" w:color="auto" w:fill="FFFFFF"/>
              </w:rPr>
              <w:t>Заключение по итогам  обследования технического состояния объекта (далее — Заключение) должно включать в себя:</w:t>
            </w:r>
            <w:r w:rsidRPr="004D6F61">
              <w:br/>
            </w:r>
            <w:r w:rsidRPr="004D6F61">
              <w:rPr>
                <w:shd w:val="clear" w:color="auto" w:fill="FFFFFF"/>
              </w:rPr>
              <w:t>- оценку технического состояния (категорию технического состояния) сооружения;</w:t>
            </w:r>
            <w:r w:rsidRPr="004D6F61">
              <w:br/>
            </w:r>
            <w:r w:rsidRPr="004D6F61">
              <w:rPr>
                <w:shd w:val="clear" w:color="auto" w:fill="FFFFFF"/>
              </w:rPr>
              <w:t>- результаты визуального, камерального и инструментального обследования, обосновывающие принятую категорию технического состояния объекта;</w:t>
            </w:r>
            <w:r w:rsidRPr="004D6F61">
              <w:br/>
            </w:r>
            <w:r w:rsidRPr="004D6F61">
              <w:rPr>
                <w:shd w:val="clear" w:color="auto" w:fill="FFFFFF"/>
              </w:rPr>
              <w:t>- оценку состояния инженерных систем, электрических сетей и слаботочных систем;</w:t>
            </w:r>
            <w:r w:rsidRPr="004D6F61">
              <w:br/>
            </w:r>
            <w:r w:rsidRPr="004D6F61">
              <w:rPr>
                <w:shd w:val="clear" w:color="auto" w:fill="FFFFFF"/>
              </w:rPr>
              <w:t>- результаты обследования, обосновывающие принятые оценки;</w:t>
            </w:r>
            <w:r w:rsidRPr="004D6F61">
              <w:br/>
            </w:r>
            <w:r w:rsidRPr="004D6F61">
              <w:rPr>
                <w:shd w:val="clear" w:color="auto" w:fill="FFFFFF"/>
              </w:rPr>
              <w:t>- обоснование наиболее вероятных причин появления дефектов и повреждений в конструкциях, инженерных системах, электрических сетях и слаботочных системах, теплоизолирующих свойств наружных ограждающих конструкций (при наличии), с рекомендациями и способами устранения;</w:t>
            </w:r>
            <w:r w:rsidRPr="004D6F61">
              <w:br/>
            </w:r>
            <w:r w:rsidRPr="004D6F61">
              <w:rPr>
                <w:shd w:val="clear" w:color="auto" w:fill="FFFFFF"/>
              </w:rPr>
              <w:t xml:space="preserve">- в случае необходимости выполнения усиления строительных конструкций сооружений, выполнить необходимые поверочные расчеты.  </w:t>
            </w:r>
            <w:r w:rsidRPr="004D6F61">
              <w:rPr>
                <w:shd w:val="clear" w:color="auto" w:fill="FFFFFF"/>
              </w:rPr>
              <w:br/>
              <w:t>Подготовить и включить в заключение следующее:</w:t>
            </w:r>
            <w:r w:rsidRPr="004D6F61">
              <w:br/>
            </w:r>
            <w:r w:rsidRPr="004D6F61">
              <w:rPr>
                <w:shd w:val="clear" w:color="auto" w:fill="FFFFFF"/>
              </w:rPr>
              <w:t xml:space="preserve">- акт технического осмотра объекта капитального строительства, содержащий сведения о результатах обследования объекта, техническом состоянии строительных конструкций и инженерных коммуникаций и </w:t>
            </w:r>
            <w:r w:rsidRPr="004D6F61">
              <w:rPr>
                <w:shd w:val="clear" w:color="auto" w:fill="FFFFFF"/>
              </w:rPr>
              <w:lastRenderedPageBreak/>
              <w:t>оборудования, количественной оценке фактических показателей качества строительных конструкций, инженерных коммуникаций по состоянию на дату обследования, для определения состава, объемов и сроков работ по капитальному ремонту.</w:t>
            </w:r>
            <w:r w:rsidRPr="004D6F61">
              <w:br/>
            </w:r>
            <w:r w:rsidRPr="004D6F61">
              <w:rPr>
                <w:shd w:val="clear" w:color="auto" w:fill="FFFFFF"/>
              </w:rPr>
              <w:t>Обследование произвести в соответствии с требованиями действующих нормативных документов.</w:t>
            </w:r>
          </w:p>
          <w:p w:rsidR="004D6F61" w:rsidRPr="004D6F61" w:rsidRDefault="004D6F61" w:rsidP="004D6F61">
            <w:pPr>
              <w:pStyle w:val="a8"/>
              <w:jc w:val="both"/>
            </w:pPr>
            <w:r w:rsidRPr="004D6F61">
              <w:t xml:space="preserve">При проведении обследования выполнить отрывку 1-2 (одного-двух) шурфов у каждого подземного перехода механизированным способом для определения состояния строительных конструкций и гидроизоляции стен, перекрытия. По окончанию работ, выполнить обратную засыпку шурфов. </w:t>
            </w:r>
          </w:p>
          <w:p w:rsidR="004D6F61" w:rsidRPr="004D6F61" w:rsidRDefault="004D6F61" w:rsidP="004D6F61">
            <w:pPr>
              <w:pStyle w:val="a8"/>
              <w:jc w:val="both"/>
            </w:pPr>
            <w:r w:rsidRPr="004D6F61">
              <w:t>Предусмотреть выполнение контрольных вскрытий защитного слоя бетона несущих железобетонных конструкций для определения фактического армирования (при необходимости).</w:t>
            </w:r>
          </w:p>
          <w:p w:rsidR="0038385D" w:rsidRPr="004D6F61" w:rsidRDefault="004D6F61" w:rsidP="004D6F61">
            <w:pPr>
              <w:pStyle w:val="a8"/>
              <w:jc w:val="both"/>
            </w:pPr>
            <w:r w:rsidRPr="004D6F61">
              <w:t>Восстановление мест вскрытий выполняется силами Заказчика.</w:t>
            </w:r>
          </w:p>
        </w:tc>
      </w:tr>
      <w:tr w:rsidR="004D6F61" w:rsidRPr="004D6F61" w:rsidTr="001E2166">
        <w:tc>
          <w:tcPr>
            <w:tcW w:w="958" w:type="dxa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2.2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схеме планировочной организации земельного участка: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pStyle w:val="a8"/>
            </w:pPr>
            <w:r w:rsidRPr="004D6F61">
              <w:t>Учесть требования СП 18.13330.2019 «Производственные объекты. Планировочная организация земельного участка. Генеральные планы промышленных предприятий»</w:t>
            </w:r>
          </w:p>
          <w:p w:rsidR="0038385D" w:rsidRPr="004D6F61" w:rsidRDefault="00E066D8" w:rsidP="00E066D8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В м</w:t>
            </w:r>
            <w:r w:rsidR="0038385D" w:rsidRPr="004D6F61">
              <w:rPr>
                <w:rFonts w:ascii="Times New Roman" w:hAnsi="Times New Roman" w:cs="Times New Roman"/>
              </w:rPr>
              <w:t>е</w:t>
            </w:r>
            <w:r w:rsidRPr="004D6F61">
              <w:rPr>
                <w:rFonts w:ascii="Times New Roman" w:hAnsi="Times New Roman" w:cs="Times New Roman"/>
              </w:rPr>
              <w:t>с</w:t>
            </w:r>
            <w:r w:rsidR="0038385D" w:rsidRPr="004D6F61">
              <w:rPr>
                <w:rFonts w:ascii="Times New Roman" w:hAnsi="Times New Roman" w:cs="Times New Roman"/>
              </w:rPr>
              <w:t xml:space="preserve">тах устройства переходов обеспечить отвод поверхностных талых и ливневых вод по рельефу. </w:t>
            </w:r>
          </w:p>
        </w:tc>
      </w:tr>
      <w:tr w:rsidR="004D6F61" w:rsidRPr="004D6F61" w:rsidTr="00D01096">
        <w:tc>
          <w:tcPr>
            <w:tcW w:w="958" w:type="dxa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2.3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pStyle w:val="a8"/>
            </w:pPr>
            <w:r w:rsidRPr="004D6F61">
              <w:rPr>
                <w:rStyle w:val="a7"/>
              </w:rPr>
              <w:t>Требования к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Архитектурным и объемно-планировочным решениям: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Проектом предусмотреть внутренние отделочные работы, материалы согласовать с заказчиком.  </w:t>
            </w:r>
          </w:p>
        </w:tc>
      </w:tr>
      <w:tr w:rsidR="004D6F61" w:rsidRPr="004D6F61" w:rsidTr="00C856BD">
        <w:tc>
          <w:tcPr>
            <w:tcW w:w="958" w:type="dxa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2.4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конструктивным: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pStyle w:val="a8"/>
              <w:tabs>
                <w:tab w:val="left" w:pos="2054"/>
                <w:tab w:val="left" w:pos="2774"/>
                <w:tab w:val="left" w:pos="4190"/>
              </w:tabs>
            </w:pPr>
            <w:r w:rsidRPr="004D6F61">
              <w:t>Конструктивными решениями обеспечить восстановлени</w:t>
            </w:r>
            <w:r w:rsidR="004663C8" w:rsidRPr="004D6F61">
              <w:t>е</w:t>
            </w:r>
            <w:r w:rsidRPr="004D6F61">
              <w:t xml:space="preserve"> (замену) строительных конструкций по результатам обследования. Цель выполнения работ обеспечить герметичность переходов, исключить протекание воды через строительные конструкции переходов.   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  <w:shd w:val="clear" w:color="auto" w:fill="FFFFFF"/>
              </w:rPr>
              <w:t xml:space="preserve">В конструкциях и отделке применить высококачественные износоустойчивые, экологически чистые материалы. </w:t>
            </w:r>
          </w:p>
        </w:tc>
      </w:tr>
      <w:tr w:rsidR="004D6F61" w:rsidRPr="004D6F61" w:rsidTr="00385F5D">
        <w:tc>
          <w:tcPr>
            <w:tcW w:w="958" w:type="dxa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5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15BC4">
            <w:pPr>
              <w:pStyle w:val="a8"/>
            </w:pPr>
            <w:r w:rsidRPr="004D6F61">
              <w:rPr>
                <w:rStyle w:val="a7"/>
              </w:rPr>
              <w:t>Требования к инженерной защите территории объекта: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Не требуется</w:t>
            </w:r>
          </w:p>
        </w:tc>
      </w:tr>
      <w:tr w:rsidR="004D6F61" w:rsidRPr="004D6F61" w:rsidTr="00563B8B">
        <w:tc>
          <w:tcPr>
            <w:tcW w:w="958" w:type="dxa"/>
            <w:vAlign w:val="bottom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</w:p>
        </w:tc>
        <w:tc>
          <w:tcPr>
            <w:tcW w:w="8387" w:type="dxa"/>
            <w:gridSpan w:val="2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  <w:r w:rsidRPr="004D6F61">
              <w:rPr>
                <w:rStyle w:val="a7"/>
                <w:rFonts w:eastAsiaTheme="minorHAnsi"/>
              </w:rPr>
              <w:t>Требования к инженерно-техническим решениям:</w:t>
            </w:r>
          </w:p>
        </w:tc>
      </w:tr>
      <w:tr w:rsidR="004D6F61" w:rsidRPr="004D6F61" w:rsidTr="00CF0626">
        <w:tc>
          <w:tcPr>
            <w:tcW w:w="958" w:type="dxa"/>
          </w:tcPr>
          <w:p w:rsidR="0038385D" w:rsidRPr="004D6F61" w:rsidRDefault="00315BC4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2.6.1</w:t>
            </w:r>
          </w:p>
        </w:tc>
        <w:tc>
          <w:tcPr>
            <w:tcW w:w="2539" w:type="dxa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Требования к наружным сетям </w:t>
            </w:r>
            <w:proofErr w:type="spellStart"/>
            <w:r w:rsidRPr="004D6F61">
              <w:rPr>
                <w:rStyle w:val="a7"/>
                <w:rFonts w:eastAsiaTheme="minorHAnsi"/>
              </w:rPr>
              <w:t>инженерно</w:t>
            </w:r>
            <w:r w:rsidRPr="004D6F61">
              <w:rPr>
                <w:rStyle w:val="a7"/>
                <w:rFonts w:eastAsiaTheme="minorHAnsi"/>
              </w:rPr>
              <w:softHyphen/>
              <w:t>технического</w:t>
            </w:r>
            <w:proofErr w:type="spellEnd"/>
            <w:r w:rsidRPr="004D6F61">
              <w:rPr>
                <w:rStyle w:val="a7"/>
                <w:rFonts w:eastAsiaTheme="minorHAnsi"/>
              </w:rPr>
              <w:t xml:space="preserve"> обеспечения, точкам присоединения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Не требуется</w:t>
            </w:r>
          </w:p>
        </w:tc>
      </w:tr>
      <w:tr w:rsidR="004D6F61" w:rsidRPr="004D6F61" w:rsidTr="00CF0626">
        <w:tc>
          <w:tcPr>
            <w:tcW w:w="958" w:type="dxa"/>
            <w:vAlign w:val="bottom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</w:t>
            </w:r>
            <w:r w:rsidR="00315BC4" w:rsidRPr="004D6F61">
              <w:rPr>
                <w:rStyle w:val="a7"/>
                <w:rFonts w:eastAsiaTheme="minorHAnsi"/>
              </w:rPr>
              <w:t>2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Водоснабжение:</w:t>
            </w:r>
          </w:p>
        </w:tc>
        <w:tc>
          <w:tcPr>
            <w:tcW w:w="5848" w:type="dxa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CF0626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.1.1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Система хозпитьевого и противопожарного водоснабжения (В2)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tabs>
                <w:tab w:val="left" w:pos="269"/>
              </w:tabs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tabs>
                <w:tab w:val="left" w:pos="269"/>
              </w:tabs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755942">
        <w:tc>
          <w:tcPr>
            <w:tcW w:w="958" w:type="dxa"/>
            <w:vAlign w:val="bottom"/>
          </w:tcPr>
          <w:p w:rsidR="0038385D" w:rsidRPr="004D6F61" w:rsidRDefault="0038385D" w:rsidP="0038385D">
            <w:pPr>
              <w:pStyle w:val="a8"/>
              <w:ind w:firstLine="200"/>
              <w:rPr>
                <w:rStyle w:val="a7"/>
              </w:rPr>
            </w:pPr>
            <w:r w:rsidRPr="004D6F61">
              <w:rPr>
                <w:rStyle w:val="a7"/>
              </w:rPr>
              <w:t>2.</w:t>
            </w:r>
            <w:r w:rsidR="00315BC4" w:rsidRPr="004D6F61">
              <w:rPr>
                <w:rStyle w:val="a7"/>
              </w:rPr>
              <w:t>6</w:t>
            </w:r>
            <w:r w:rsidRPr="004D6F61">
              <w:rPr>
                <w:rStyle w:val="a7"/>
              </w:rPr>
              <w:t>.2</w:t>
            </w:r>
          </w:p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pStyle w:val="a8"/>
              <w:rPr>
                <w:rStyle w:val="a7"/>
              </w:rPr>
            </w:pPr>
            <w:r w:rsidRPr="004D6F61">
              <w:rPr>
                <w:rStyle w:val="a7"/>
              </w:rPr>
              <w:t>Водоотведение: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rPr>
                <w:rFonts w:ascii="Times New Roman" w:eastAsia="Courier New" w:hAnsi="Times New Roman" w:cs="Times New Roman"/>
              </w:rPr>
            </w:pPr>
            <w:r w:rsidRPr="004D6F61">
              <w:rPr>
                <w:rStyle w:val="a7"/>
                <w:rFonts w:eastAsia="Courier New"/>
              </w:rPr>
              <w:t>Не требуется</w:t>
            </w:r>
          </w:p>
        </w:tc>
      </w:tr>
      <w:tr w:rsidR="004D6F61" w:rsidRPr="004D6F61" w:rsidTr="00755942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.2.1</w:t>
            </w:r>
          </w:p>
        </w:tc>
        <w:tc>
          <w:tcPr>
            <w:tcW w:w="2539" w:type="dxa"/>
          </w:tcPr>
          <w:p w:rsidR="0038385D" w:rsidRPr="004D6F61" w:rsidRDefault="0038385D" w:rsidP="0038385D">
            <w:pPr>
              <w:pStyle w:val="a8"/>
              <w:spacing w:line="300" w:lineRule="auto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Система канализации</w:t>
            </w:r>
          </w:p>
        </w:tc>
        <w:tc>
          <w:tcPr>
            <w:tcW w:w="5848" w:type="dxa"/>
            <w:vAlign w:val="bottom"/>
          </w:tcPr>
          <w:p w:rsidR="00315BC4" w:rsidRPr="004D6F61" w:rsidRDefault="00315BC4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BE311E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.2.2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pStyle w:val="a8"/>
              <w:spacing w:line="293" w:lineRule="auto"/>
              <w:rPr>
                <w:rStyle w:val="a7"/>
              </w:rPr>
            </w:pPr>
            <w:r w:rsidRPr="004D6F61">
              <w:rPr>
                <w:rStyle w:val="a7"/>
              </w:rPr>
              <w:t>Ливневая канализация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 xml:space="preserve">Отвод поверхностных вод по рельефу </w:t>
            </w:r>
          </w:p>
          <w:p w:rsidR="0038385D" w:rsidRPr="004D6F61" w:rsidRDefault="0038385D" w:rsidP="0038385D">
            <w:pPr>
              <w:pStyle w:val="a8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5B3576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.3</w:t>
            </w:r>
          </w:p>
        </w:tc>
        <w:tc>
          <w:tcPr>
            <w:tcW w:w="8387" w:type="dxa"/>
            <w:gridSpan w:val="2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Теплоснабжение, отопление, вентиляция, кондиционирование</w:t>
            </w:r>
          </w:p>
        </w:tc>
      </w:tr>
      <w:tr w:rsidR="004D6F61" w:rsidRPr="004D6F61" w:rsidTr="000D4D30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.3.1</w:t>
            </w:r>
          </w:p>
        </w:tc>
        <w:tc>
          <w:tcPr>
            <w:tcW w:w="2539" w:type="dxa"/>
          </w:tcPr>
          <w:p w:rsidR="0038385D" w:rsidRPr="004D6F61" w:rsidRDefault="0038385D" w:rsidP="0038385D">
            <w:pPr>
              <w:pStyle w:val="a8"/>
              <w:rPr>
                <w:rStyle w:val="a7"/>
              </w:rPr>
            </w:pPr>
          </w:p>
          <w:p w:rsidR="0038385D" w:rsidRPr="004D6F61" w:rsidRDefault="0038385D" w:rsidP="0038385D">
            <w:pPr>
              <w:pStyle w:val="a8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Теплоснабжение: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D6F61" w:rsidRPr="004D6F61" w:rsidTr="000D4D30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.3.2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Отопление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D6F61" w:rsidRPr="004D6F61" w:rsidTr="000D4D30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.3.3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Вентиляция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D6F61" w:rsidRPr="004D6F61" w:rsidTr="00457E3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.3.4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Кондиционирование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spacing w:line="266" w:lineRule="auto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spacing w:line="266" w:lineRule="auto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457E3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.3.5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Электроснабжение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4D6F61" w:rsidRPr="004D6F61" w:rsidTr="00457E3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.4.1</w:t>
            </w:r>
          </w:p>
        </w:tc>
        <w:tc>
          <w:tcPr>
            <w:tcW w:w="2539" w:type="dxa"/>
          </w:tcPr>
          <w:p w:rsidR="0038385D" w:rsidRPr="004D6F61" w:rsidRDefault="0038385D" w:rsidP="0038385D">
            <w:pPr>
              <w:pStyle w:val="a8"/>
              <w:spacing w:before="140"/>
            </w:pPr>
            <w:r w:rsidRPr="004D6F61">
              <w:rPr>
                <w:rStyle w:val="a7"/>
              </w:rPr>
              <w:t>Силовое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электрооборудование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DE7A4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.4.2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Внутреннее электроосвещение.  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Style w:val="fontstyle01"/>
                <w:color w:val="auto"/>
                <w:sz w:val="22"/>
                <w:szCs w:val="22"/>
              </w:rPr>
              <w:t>При проектировании освещения руководствоваться сводом</w:t>
            </w:r>
            <w:r w:rsidRPr="004D6F61">
              <w:rPr>
                <w:rFonts w:ascii="Times New Roman" w:hAnsi="Times New Roman" w:cs="Times New Roman"/>
              </w:rPr>
              <w:br/>
            </w:r>
            <w:r w:rsidRPr="004D6F61">
              <w:rPr>
                <w:rStyle w:val="fontstyle01"/>
                <w:color w:val="auto"/>
                <w:sz w:val="22"/>
                <w:szCs w:val="22"/>
              </w:rPr>
              <w:t>правил СП 52.13330.2016 "Естественное и искусственное</w:t>
            </w:r>
            <w:r w:rsidRPr="004D6F61">
              <w:rPr>
                <w:rFonts w:ascii="Times New Roman" w:hAnsi="Times New Roman" w:cs="Times New Roman"/>
              </w:rPr>
              <w:br/>
            </w:r>
            <w:r w:rsidRPr="004D6F61">
              <w:rPr>
                <w:rStyle w:val="fontstyle01"/>
                <w:color w:val="auto"/>
                <w:sz w:val="22"/>
                <w:szCs w:val="22"/>
              </w:rPr>
              <w:t>освещение"</w:t>
            </w:r>
          </w:p>
          <w:p w:rsidR="0038385D" w:rsidRPr="004D6F61" w:rsidRDefault="0038385D" w:rsidP="0038385D">
            <w:pPr>
              <w:pStyle w:val="a8"/>
              <w:jc w:val="both"/>
            </w:pPr>
            <w:r w:rsidRPr="004D6F61">
              <w:rPr>
                <w:rStyle w:val="a7"/>
              </w:rPr>
              <w:t xml:space="preserve">При проектировании использовать современные технические достижения: светодиодные светильники, светодиодные лампы. 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F85922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.4.3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Заземление и защита от статического электричества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</w:pPr>
            <w:r w:rsidRPr="004D6F61">
              <w:rPr>
                <w:rStyle w:val="a7"/>
              </w:rPr>
              <w:t>Технические решения, принятые при проектировании должны обеспечивать безопасную для жизни и здоровья людей эксплуатацию объекта, соответствовать требованиям ГОСТ Р 50571.10-96.</w:t>
            </w:r>
          </w:p>
          <w:p w:rsidR="0038385D" w:rsidRPr="004D6F61" w:rsidRDefault="0038385D" w:rsidP="0038385D">
            <w:pPr>
              <w:pStyle w:val="a8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4D6F61" w:rsidRPr="004D6F61" w:rsidTr="00F85922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2.</w:t>
            </w:r>
            <w:r w:rsidR="00315BC4" w:rsidRPr="004D6F61">
              <w:rPr>
                <w:rFonts w:ascii="Times New Roman" w:hAnsi="Times New Roman" w:cs="Times New Roman"/>
              </w:rPr>
              <w:t>6</w:t>
            </w:r>
            <w:r w:rsidRPr="004D6F61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Автоматическая пожарная сигнализация и система оповещения о пожаре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tabs>
                <w:tab w:val="left" w:pos="350"/>
              </w:tabs>
              <w:jc w:val="both"/>
            </w:pPr>
            <w:r w:rsidRPr="004D6F61">
              <w:t>Не требуется</w:t>
            </w:r>
          </w:p>
          <w:p w:rsidR="0038385D" w:rsidRPr="004D6F61" w:rsidRDefault="0038385D" w:rsidP="0038385D">
            <w:pPr>
              <w:pStyle w:val="a8"/>
              <w:tabs>
                <w:tab w:val="left" w:pos="350"/>
              </w:tabs>
              <w:jc w:val="both"/>
            </w:pPr>
          </w:p>
          <w:p w:rsidR="0038385D" w:rsidRPr="004D6F61" w:rsidRDefault="0038385D" w:rsidP="0038385D">
            <w:pPr>
              <w:pStyle w:val="a8"/>
              <w:tabs>
                <w:tab w:val="left" w:pos="350"/>
              </w:tabs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F85922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2.</w:t>
            </w:r>
            <w:r w:rsidR="00315BC4" w:rsidRPr="004D6F61">
              <w:rPr>
                <w:rFonts w:ascii="Times New Roman" w:hAnsi="Times New Roman" w:cs="Times New Roman"/>
              </w:rPr>
              <w:t>6</w:t>
            </w:r>
            <w:r w:rsidRPr="004D6F61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Видеонаблюдение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tabs>
                <w:tab w:val="left" w:pos="250"/>
              </w:tabs>
            </w:pPr>
            <w:r w:rsidRPr="004D6F61">
              <w:t>Не требуется</w:t>
            </w:r>
          </w:p>
          <w:p w:rsidR="0038385D" w:rsidRPr="004D6F61" w:rsidRDefault="0038385D" w:rsidP="0038385D">
            <w:pPr>
              <w:pStyle w:val="a8"/>
              <w:tabs>
                <w:tab w:val="left" w:pos="250"/>
              </w:tabs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E47069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2.</w:t>
            </w:r>
            <w:r w:rsidR="00315BC4" w:rsidRPr="004D6F61">
              <w:rPr>
                <w:rFonts w:ascii="Times New Roman" w:hAnsi="Times New Roman" w:cs="Times New Roman"/>
              </w:rPr>
              <w:t>6</w:t>
            </w:r>
            <w:r w:rsidRPr="004D6F61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Требование к системе контроля и управления доступом (СКУД)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tabs>
                <w:tab w:val="left" w:pos="259"/>
              </w:tabs>
              <w:spacing w:before="240"/>
              <w:jc w:val="both"/>
            </w:pPr>
            <w:r w:rsidRPr="004D6F61">
              <w:t>Не требуется</w:t>
            </w:r>
          </w:p>
          <w:p w:rsidR="0038385D" w:rsidRPr="004D6F61" w:rsidRDefault="0038385D" w:rsidP="0038385D">
            <w:pPr>
              <w:pStyle w:val="a8"/>
              <w:tabs>
                <w:tab w:val="left" w:pos="259"/>
              </w:tabs>
              <w:spacing w:before="240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E47069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2.</w:t>
            </w:r>
            <w:r w:rsidR="00315BC4" w:rsidRPr="004D6F61">
              <w:rPr>
                <w:rFonts w:ascii="Times New Roman" w:hAnsi="Times New Roman" w:cs="Times New Roman"/>
              </w:rPr>
              <w:t>6</w:t>
            </w:r>
            <w:r w:rsidRPr="004D6F61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Требование к охранной сигнализации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</w:pPr>
            <w:r w:rsidRPr="004D6F61">
              <w:t>Не требуется</w:t>
            </w:r>
          </w:p>
          <w:p w:rsidR="0038385D" w:rsidRPr="004D6F61" w:rsidRDefault="0038385D" w:rsidP="0038385D">
            <w:pPr>
              <w:pStyle w:val="a8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E47069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2.</w:t>
            </w:r>
            <w:r w:rsidR="00315BC4" w:rsidRPr="004D6F61">
              <w:rPr>
                <w:rFonts w:ascii="Times New Roman" w:hAnsi="Times New Roman" w:cs="Times New Roman"/>
              </w:rPr>
              <w:t>6</w:t>
            </w:r>
            <w:r w:rsidRPr="004D6F61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pStyle w:val="a8"/>
            </w:pPr>
            <w:r w:rsidRPr="004D6F61">
              <w:t>Требование к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электропитанию СВН, ОС и СКУД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</w:pPr>
            <w:r w:rsidRPr="004D6F61">
              <w:t>Не требуется</w:t>
            </w:r>
          </w:p>
          <w:p w:rsidR="0038385D" w:rsidRPr="004D6F61" w:rsidRDefault="0038385D" w:rsidP="0038385D">
            <w:pPr>
              <w:pStyle w:val="a8"/>
              <w:jc w:val="both"/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A1618A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.10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СКС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spacing w:before="240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Не требуется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E7389A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.11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Радиофикация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40674E">
            <w:pPr>
              <w:pStyle w:val="a8"/>
              <w:tabs>
                <w:tab w:val="left" w:pos="422"/>
              </w:tabs>
              <w:jc w:val="both"/>
            </w:pPr>
            <w:r w:rsidRPr="004D6F61">
              <w:rPr>
                <w:rStyle w:val="a7"/>
              </w:rPr>
              <w:t>Не требуется</w:t>
            </w:r>
          </w:p>
        </w:tc>
      </w:tr>
      <w:tr w:rsidR="004D6F61" w:rsidRPr="004D6F61" w:rsidTr="00C32C1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2.</w:t>
            </w:r>
            <w:r w:rsidR="00315BC4" w:rsidRPr="004D6F61">
              <w:rPr>
                <w:rStyle w:val="a7"/>
                <w:rFonts w:eastAsiaTheme="minorHAnsi"/>
              </w:rPr>
              <w:t>6</w:t>
            </w:r>
            <w:r w:rsidRPr="004D6F61">
              <w:rPr>
                <w:rStyle w:val="a7"/>
                <w:rFonts w:eastAsiaTheme="minorHAnsi"/>
              </w:rPr>
              <w:t>.12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40674E">
            <w:pPr>
              <w:pStyle w:val="a8"/>
            </w:pPr>
            <w:r w:rsidRPr="004D6F61">
              <w:rPr>
                <w:rStyle w:val="a7"/>
              </w:rPr>
              <w:t xml:space="preserve">Телефонизация и </w:t>
            </w:r>
            <w:proofErr w:type="spellStart"/>
            <w:r w:rsidRPr="004D6F61">
              <w:rPr>
                <w:rStyle w:val="a7"/>
              </w:rPr>
              <w:t>часофикация</w:t>
            </w:r>
            <w:proofErr w:type="spellEnd"/>
          </w:p>
        </w:tc>
        <w:tc>
          <w:tcPr>
            <w:tcW w:w="5848" w:type="dxa"/>
            <w:vAlign w:val="bottom"/>
          </w:tcPr>
          <w:p w:rsidR="0038385D" w:rsidRPr="004D6F61" w:rsidRDefault="0038385D" w:rsidP="0040674E">
            <w:pPr>
              <w:pStyle w:val="a8"/>
              <w:jc w:val="both"/>
            </w:pPr>
            <w:r w:rsidRPr="004D6F61">
              <w:rPr>
                <w:rStyle w:val="a7"/>
              </w:rPr>
              <w:t>Не требуется</w:t>
            </w:r>
          </w:p>
        </w:tc>
      </w:tr>
      <w:tr w:rsidR="004D6F61" w:rsidRPr="004D6F61" w:rsidTr="00326154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br w:type="page"/>
            </w: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7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мероприятиям по охране окружающей среды: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При проектировании должны учитываться нормативы допустимой антропогенной нагрузки на окружающую среду, предусматриваться мероприятия по предупреждению и устранению загрязнения окружающей среды, применяться ресурсосберегающие, малоотходные, безотходные и иные технологии, способствующие охране окружающей среды, восстановлению природной среды, рациональному использованию и воспроизводству природных ресурсов.</w:t>
            </w:r>
          </w:p>
        </w:tc>
      </w:tr>
      <w:tr w:rsidR="004D6F61" w:rsidRPr="004D6F61" w:rsidTr="004324BB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9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40674E">
            <w:pPr>
              <w:pStyle w:val="a8"/>
            </w:pPr>
            <w:r w:rsidRPr="004D6F61">
              <w:rPr>
                <w:rStyle w:val="a7"/>
              </w:rPr>
              <w:t>Требования к меро</w:t>
            </w:r>
            <w:r w:rsidRPr="004D6F61">
              <w:rPr>
                <w:rStyle w:val="a7"/>
              </w:rPr>
              <w:softHyphen/>
              <w:t>приятиям по обеспечению соблюдения требований энергетической эффективности и по оснащенности объекта приборами учета используемых энер</w:t>
            </w:r>
            <w:r w:rsidRPr="004D6F61">
              <w:rPr>
                <w:rStyle w:val="a7"/>
              </w:rPr>
              <w:softHyphen/>
              <w:t>гетических ресурсов: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Не требуется</w:t>
            </w:r>
          </w:p>
        </w:tc>
      </w:tr>
      <w:tr w:rsidR="004D6F61" w:rsidRPr="004D6F61" w:rsidTr="00CC01DF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</w:t>
            </w:r>
            <w:r w:rsidR="00315BC4" w:rsidRPr="004D6F61">
              <w:rPr>
                <w:rStyle w:val="a7"/>
                <w:rFonts w:eastAsiaTheme="minorHAnsi"/>
              </w:rPr>
              <w:t>10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40674E">
            <w:pPr>
              <w:pStyle w:val="a8"/>
            </w:pPr>
            <w:r w:rsidRPr="004D6F61">
              <w:rPr>
                <w:rStyle w:val="a7"/>
              </w:rPr>
              <w:t>Требования к мероприятиям по обеспечению доступа инвалидов к объекту: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eastAsia="Helvetica" w:hAnsi="Times New Roman" w:cs="Times New Roman"/>
                <w:shd w:val="clear" w:color="auto" w:fill="FBFBFB"/>
              </w:rPr>
              <w:t>С учетом специфики выполняемых работ труд маломобильных групп населения на предприятии не предусмотрен</w:t>
            </w:r>
          </w:p>
        </w:tc>
      </w:tr>
      <w:tr w:rsidR="004D6F61" w:rsidRPr="004D6F61" w:rsidTr="00CC01DF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2.1</w:t>
            </w:r>
            <w:r w:rsidR="00315BC4" w:rsidRPr="004D6F61">
              <w:rPr>
                <w:rStyle w:val="a7"/>
                <w:rFonts w:eastAsiaTheme="minorHAnsi"/>
              </w:rPr>
              <w:t>1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40674E">
            <w:pPr>
              <w:pStyle w:val="a8"/>
            </w:pPr>
            <w:r w:rsidRPr="004D6F61">
              <w:rPr>
                <w:rStyle w:val="a7"/>
              </w:rPr>
              <w:t xml:space="preserve">Требования к </w:t>
            </w:r>
            <w:proofErr w:type="spellStart"/>
            <w:r w:rsidRPr="004D6F61">
              <w:rPr>
                <w:rStyle w:val="a7"/>
              </w:rPr>
              <w:t>инженерно</w:t>
            </w:r>
            <w:r w:rsidRPr="004D6F61">
              <w:rPr>
                <w:rStyle w:val="a7"/>
              </w:rPr>
              <w:softHyphen/>
              <w:t>техническому</w:t>
            </w:r>
            <w:proofErr w:type="spellEnd"/>
            <w:r w:rsidRPr="004D6F61">
              <w:rPr>
                <w:rStyle w:val="a7"/>
              </w:rPr>
              <w:t xml:space="preserve"> укреплению объекта в целях обеспечения его антитеррористической защищенности: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eastAsia="SimSun" w:hAnsi="Times New Roman" w:cs="Times New Roman"/>
                <w:bCs/>
              </w:rPr>
              <w:t>Разработка мероприятий по инженерно-техническому укреплению объекта не требуется, объект проектирования расположен на охраняемой территории</w:t>
            </w:r>
          </w:p>
        </w:tc>
      </w:tr>
      <w:tr w:rsidR="004D6F61" w:rsidRPr="004D6F61" w:rsidTr="00CC01DF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2.1</w:t>
            </w:r>
            <w:r w:rsidR="00315BC4" w:rsidRPr="004D6F61">
              <w:rPr>
                <w:rStyle w:val="a7"/>
                <w:rFonts w:eastAsiaTheme="minorHAnsi"/>
              </w:rPr>
              <w:t>2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40674E">
            <w:pPr>
              <w:pStyle w:val="a8"/>
            </w:pPr>
            <w:r w:rsidRPr="004D6F61">
              <w:rPr>
                <w:rStyle w:val="a7"/>
              </w:rPr>
              <w:t>Требования к технической эксплуатации и техническому обслуживанию объекта: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При проектировании инженерных коммуникаций предусмотреть исключение случаев травмирования работников предприятия в процессе эксплуатации здания</w:t>
            </w:r>
          </w:p>
        </w:tc>
      </w:tr>
      <w:tr w:rsidR="004D6F61" w:rsidRPr="004D6F61" w:rsidTr="00CC01DF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2.1</w:t>
            </w:r>
            <w:r w:rsidR="00315BC4" w:rsidRPr="004D6F61">
              <w:rPr>
                <w:rStyle w:val="a7"/>
                <w:rFonts w:eastAsiaTheme="minorHAnsi"/>
              </w:rPr>
              <w:t>3</w:t>
            </w:r>
          </w:p>
        </w:tc>
        <w:tc>
          <w:tcPr>
            <w:tcW w:w="2539" w:type="dxa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проекту организации строительства объекта: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Выполнить в соответствии с требованиями нормативной документации.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AB4021">
        <w:tc>
          <w:tcPr>
            <w:tcW w:w="9345" w:type="dxa"/>
            <w:gridSpan w:val="3"/>
            <w:vAlign w:val="bottom"/>
          </w:tcPr>
          <w:p w:rsidR="0038385D" w:rsidRPr="004D6F61" w:rsidRDefault="0038385D" w:rsidP="00AE4DC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  <w:b/>
                <w:bCs/>
              </w:rPr>
              <w:t>Ш.</w:t>
            </w:r>
            <w:r w:rsidR="003F0813">
              <w:rPr>
                <w:rStyle w:val="a7"/>
                <w:rFonts w:eastAsiaTheme="minorHAnsi"/>
                <w:b/>
                <w:bCs/>
              </w:rPr>
              <w:t xml:space="preserve"> </w:t>
            </w:r>
            <w:r w:rsidRPr="004D6F61">
              <w:rPr>
                <w:rStyle w:val="a7"/>
                <w:rFonts w:eastAsiaTheme="minorHAnsi"/>
                <w:b/>
                <w:bCs/>
              </w:rPr>
              <w:t>Иные требования к проектированию</w:t>
            </w:r>
          </w:p>
        </w:tc>
      </w:tr>
      <w:tr w:rsidR="004D6F61" w:rsidRPr="004D6F61" w:rsidTr="004419DB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3.1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составу проектной документации, в том числе требования о разработке разделов проектной документации, наличие которых не является обязательным:</w:t>
            </w:r>
          </w:p>
        </w:tc>
        <w:tc>
          <w:tcPr>
            <w:tcW w:w="5848" w:type="dxa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2"/>
                <w:rFonts w:eastAsiaTheme="minorHAnsi"/>
                <w:bCs/>
                <w:color w:val="auto"/>
                <w:sz w:val="22"/>
                <w:szCs w:val="22"/>
              </w:rPr>
              <w:t>Рабочую документацию выполнить в соответствии с ГОСТ Р 21.101-2020 «Система проектной документации для строительства. Основные требования к проектной и рабочей документации</w:t>
            </w:r>
          </w:p>
        </w:tc>
      </w:tr>
      <w:tr w:rsidR="004D6F61" w:rsidRPr="004D6F61" w:rsidTr="004419DB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3.2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Проектная документация, передаваемая Заказчику</w:t>
            </w:r>
          </w:p>
        </w:tc>
        <w:tc>
          <w:tcPr>
            <w:tcW w:w="5848" w:type="dxa"/>
          </w:tcPr>
          <w:p w:rsidR="0038385D" w:rsidRPr="004D6F61" w:rsidRDefault="0038385D" w:rsidP="0038385D">
            <w:pPr>
              <w:pStyle w:val="a8"/>
              <w:jc w:val="both"/>
            </w:pPr>
            <w:r w:rsidRPr="004D6F61">
              <w:rPr>
                <w:rStyle w:val="a7"/>
              </w:rPr>
              <w:t>Документацию подготовить и скомплектовать в количестве: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Рабочая документация - 4 экз. на бумажном носителе (4 экз. сброшюровать) и 1 экз. на электронных носителях в формате </w:t>
            </w:r>
            <w:r w:rsidRPr="004D6F61">
              <w:rPr>
                <w:rStyle w:val="a7"/>
                <w:rFonts w:eastAsiaTheme="minorHAnsi"/>
                <w:lang w:bidi="en-US"/>
              </w:rPr>
              <w:t>*.</w:t>
            </w:r>
            <w:r w:rsidRPr="004D6F61">
              <w:rPr>
                <w:rStyle w:val="a7"/>
                <w:rFonts w:eastAsiaTheme="minorHAnsi"/>
                <w:lang w:val="en-US" w:bidi="en-US"/>
              </w:rPr>
              <w:t>pdf</w:t>
            </w:r>
            <w:r w:rsidRPr="004D6F61">
              <w:rPr>
                <w:rStyle w:val="a7"/>
                <w:rFonts w:eastAsiaTheme="minorHAnsi"/>
                <w:lang w:bidi="en-US"/>
              </w:rPr>
              <w:t xml:space="preserve">., </w:t>
            </w:r>
            <w:r w:rsidRPr="004D6F61">
              <w:rPr>
                <w:rStyle w:val="a7"/>
                <w:rFonts w:eastAsiaTheme="minorHAnsi"/>
                <w:lang w:val="en-US" w:bidi="en-US"/>
              </w:rPr>
              <w:t>dwg</w:t>
            </w:r>
            <w:r w:rsidRPr="004D6F61">
              <w:rPr>
                <w:rStyle w:val="a7"/>
                <w:rFonts w:eastAsiaTheme="minorHAnsi"/>
                <w:lang w:bidi="en-US"/>
              </w:rPr>
              <w:t>.</w:t>
            </w:r>
          </w:p>
        </w:tc>
      </w:tr>
      <w:tr w:rsidR="004D6F61" w:rsidRPr="004D6F61" w:rsidTr="00F00851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3.4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Требования к подготовке и выдаче </w:t>
            </w:r>
            <w:r w:rsidRPr="004D6F61">
              <w:rPr>
                <w:rStyle w:val="a7"/>
                <w:rFonts w:eastAsiaTheme="minorHAnsi"/>
              </w:rPr>
              <w:lastRenderedPageBreak/>
              <w:t>сметной документации:</w:t>
            </w:r>
          </w:p>
        </w:tc>
        <w:tc>
          <w:tcPr>
            <w:tcW w:w="5848" w:type="dxa"/>
            <w:vAlign w:val="bottom"/>
          </w:tcPr>
          <w:p w:rsidR="004D6F61" w:rsidRPr="004D6F61" w:rsidRDefault="004D6F61" w:rsidP="004D6F61">
            <w:pPr>
              <w:pStyle w:val="a8"/>
              <w:spacing w:after="60"/>
              <w:jc w:val="both"/>
            </w:pPr>
            <w:r w:rsidRPr="004D6F61">
              <w:lastRenderedPageBreak/>
              <w:t xml:space="preserve">Выполнить сметную документацию согласно </w:t>
            </w:r>
            <w:r w:rsidRPr="004D6F61">
              <w:rPr>
                <w:rFonts w:ascii="Arial" w:hAnsi="Arial" w:cs="Arial"/>
                <w:shd w:val="clear" w:color="auto" w:fill="FFFFFF"/>
              </w:rPr>
              <w:t> </w:t>
            </w:r>
            <w:hyperlink r:id="rId6" w:anchor="64U0IK" w:history="1">
              <w:r w:rsidRPr="004D6F61">
                <w:rPr>
                  <w:rStyle w:val="aa"/>
                  <w:color w:val="auto"/>
                  <w:shd w:val="clear" w:color="auto" w:fill="FFFFFF"/>
                </w:rPr>
                <w:t xml:space="preserve">Методики определения сметной стоимости строительства, </w:t>
              </w:r>
              <w:r w:rsidRPr="004D6F61">
                <w:rPr>
                  <w:rStyle w:val="aa"/>
                  <w:color w:val="auto"/>
                  <w:shd w:val="clear" w:color="auto" w:fill="FFFFFF"/>
                </w:rPr>
                <w:lastRenderedPageBreak/>
                <w:t>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</w:t>
              </w:r>
            </w:hyperlink>
            <w:r w:rsidRPr="004D6F61">
              <w:t>, утвержденной Приказом Министерства строительства и ЖКХ РФ  №421 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 04.08.2020 г. (в ред. Пр. №557/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 07.07.2022г и №55/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 30.01.2024 г.) (далее Методика №421/</w:t>
            </w:r>
            <w:proofErr w:type="spellStart"/>
            <w:r w:rsidRPr="004D6F61">
              <w:t>пр</w:t>
            </w:r>
            <w:proofErr w:type="spellEnd"/>
            <w:r w:rsidRPr="004D6F61">
              <w:t>) ресурсно-индексным методом (РИМ), согласно базы ФСНБ-2022, утвержденной приказом Минстроя России №1046/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 30.12.2021 с учетом всех изменений и дополнений на момент предоставления проектно-сметной документации Зак</w:t>
            </w:r>
            <w:r w:rsidR="003F0813">
              <w:t>азчику. Пересчет цен произвести</w:t>
            </w:r>
            <w:r w:rsidRPr="004D6F61">
              <w:t xml:space="preserve"> для Республики Башкортостан. Предоставить    Пояснительную записку, Сводный сметный расчет (содержащий титульный лист, содержание тома, ведомость "Состав проектной документации", сводку</w:t>
            </w:r>
            <w:r w:rsidR="003F0813">
              <w:t xml:space="preserve"> затрат</w:t>
            </w:r>
            <w:r w:rsidRPr="004D6F61">
              <w:t>, сводный сметный расчет в текущих ценах). Сметную документацию для загрузки в экспертизу в электронном виде подготовить в соответствии с х</w:t>
            </w:r>
            <w:r w:rsidRPr="004D6F61">
              <w:rPr>
                <w:lang w:val="en-US"/>
              </w:rPr>
              <w:t>ml</w:t>
            </w:r>
            <w:r w:rsidRPr="004D6F61">
              <w:t>-схемой (согласно Письма Минстроя России от 05.05.2023г №25724-ИФ/00). Кроме того, всю сметную документацию предоставить в формате *р</w:t>
            </w:r>
            <w:r w:rsidRPr="004D6F61">
              <w:rPr>
                <w:lang w:val="en-US"/>
              </w:rPr>
              <w:t>df</w:t>
            </w:r>
            <w:r w:rsidRPr="004D6F61">
              <w:t xml:space="preserve">. локальные сметы, сводный сметный расчет и конъюнктурный анализ предоставить в формате </w:t>
            </w:r>
            <w:proofErr w:type="spellStart"/>
            <w:r w:rsidRPr="004D6F61">
              <w:t>х</w:t>
            </w:r>
            <w:r w:rsidRPr="004D6F61">
              <w:rPr>
                <w:lang w:val="en-US"/>
              </w:rPr>
              <w:t>ls</w:t>
            </w:r>
            <w:r w:rsidRPr="004D6F61">
              <w:t>х</w:t>
            </w:r>
            <w:proofErr w:type="spellEnd"/>
            <w:r w:rsidRPr="004D6F61">
              <w:t xml:space="preserve"> и </w:t>
            </w:r>
            <w:proofErr w:type="spellStart"/>
            <w:r w:rsidRPr="004D6F61">
              <w:rPr>
                <w:lang w:val="en-US"/>
              </w:rPr>
              <w:t>gsf</w:t>
            </w:r>
            <w:proofErr w:type="spellEnd"/>
            <w:r w:rsidRPr="004D6F61">
              <w:t>х.</w:t>
            </w:r>
          </w:p>
          <w:p w:rsidR="004D6F61" w:rsidRPr="004D6F61" w:rsidRDefault="004D6F61" w:rsidP="004D6F61">
            <w:pPr>
              <w:pStyle w:val="a8"/>
              <w:spacing w:after="60"/>
              <w:jc w:val="both"/>
            </w:pPr>
            <w:r w:rsidRPr="004D6F61">
              <w:t xml:space="preserve">   Величина накладных расходов </w:t>
            </w:r>
            <w:r w:rsidRPr="004D6F61">
              <w:rPr>
                <w:lang w:val="en-US"/>
              </w:rPr>
              <w:t>c</w:t>
            </w:r>
            <w:r w:rsidRPr="004D6F61">
              <w:t>согласно Приказа №812/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 21.12.2020г "Об утверждении Методики по разработке и применению нормативов накладных расходов при определении сметной стоимости строительства, реконструкции. капитального ремонта, сноса объектов капитального строительства " </w:t>
            </w:r>
            <w:r w:rsidRPr="004D6F61">
              <w:rPr>
                <w:b/>
                <w:bCs/>
              </w:rPr>
              <w:t>в ред.</w:t>
            </w:r>
            <w:r w:rsidRPr="004D6F61">
              <w:t xml:space="preserve"> по Пр. №636/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 02.09.2021г. №611/</w:t>
            </w:r>
            <w:proofErr w:type="spellStart"/>
            <w:r w:rsidRPr="004D6F61">
              <w:t>пр</w:t>
            </w:r>
            <w:proofErr w:type="spellEnd"/>
            <w:r w:rsidRPr="004D6F61">
              <w:t xml:space="preserve"> от26.07.2022г «О внесении изменений в Методику по разработке и применению нормативов накладных расходов при определении сметной стоимости строительства. реконструкции, капитального ремонта, сноса объектов капитального строительства, утвержденную приказом Минстроя России от 21.12.2020 </w:t>
            </w:r>
            <w:proofErr w:type="spellStart"/>
            <w:r w:rsidRPr="004D6F61">
              <w:t>г.№</w:t>
            </w:r>
            <w:proofErr w:type="spellEnd"/>
            <w:r w:rsidRPr="004D6F61">
              <w:t xml:space="preserve"> 812/</w:t>
            </w:r>
            <w:proofErr w:type="spellStart"/>
            <w:r w:rsidRPr="004D6F61">
              <w:t>пр</w:t>
            </w:r>
            <w:proofErr w:type="spellEnd"/>
            <w:r w:rsidRPr="004D6F61">
              <w:t>». Применять нормативы накладных расходов по видам строительно-монтажных работ (в % от ФОТ).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 Величина сметной прибыли </w:t>
            </w:r>
            <w:r w:rsidRPr="004D6F61">
              <w:rPr>
                <w:rFonts w:ascii="Times New Roman" w:hAnsi="Times New Roman" w:cs="Times New Roman"/>
                <w:lang w:val="en-US"/>
              </w:rPr>
              <w:t>c</w:t>
            </w:r>
            <w:r w:rsidRPr="004D6F61">
              <w:rPr>
                <w:rFonts w:ascii="Times New Roman" w:hAnsi="Times New Roman" w:cs="Times New Roman"/>
              </w:rPr>
              <w:t>согласно Приказа № 774/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от 11.12.2020г "Об утверждении Методики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строительства" в ред. По Пр. №317/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от 22.04.2022" О внесении изменений в Методику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строительства. утвержденную приказом Министерства строительства и жилищно-коммунального хозяйства Российской Федерации от 11 декабря 2020 г. № 774/пр. Применять нормативы сметной прибыли по видам строительно-монтажных работ (в % от ФОТ).  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Стоимость материалов и оборудования, отсутствующих в ФГИС ЦС, принять согласно п.п.90-92 Методики №421/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в текущем уровне цен, на основании результатов конъюнктурного анализа, выполненного в соответствии с </w:t>
            </w:r>
            <w:r w:rsidRPr="004D6F61">
              <w:rPr>
                <w:rFonts w:ascii="Times New Roman" w:hAnsi="Times New Roman" w:cs="Times New Roman"/>
              </w:rPr>
              <w:lastRenderedPageBreak/>
              <w:t>положениями п.п.13-21 Методики №421/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>, не менее 3 (трех) (при наличии) производителей и (или) поставщиков, а в случае безальтернативного (единственного) производителя и (или) поставщика  - на основании данных по одному такому производителю и (или) поставщику с учетом транспортных и заготовительно-складских расходов, если таковые не учтены в цене поставки.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Стоимость оборудования предоставляет Заказчик с учетом условий п.п.99-121 Методики №421/пр.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Учесть особые условия выполнения работ, применив коэффициенты, </w:t>
            </w:r>
            <w:r w:rsidRPr="004D6F61">
              <w:rPr>
                <w:rFonts w:ascii="Times New Roman" w:hAnsi="Times New Roman" w:cs="Times New Roman"/>
                <w:shd w:val="clear" w:color="auto" w:fill="FFFFFF"/>
              </w:rPr>
              <w:t>учитывающие снижение производительности труда: Производство работ осуществляется на территории действующего предприятия с наличием в зоне производства работ одного или нескольких из следующих факторов: разветвленной сети транспортных и инженерных коммуникаций; стесненных условий для складирования материалов; действующего технологического оборудования ОЗП-1,15, ЭМ-1,15, ЗПМ-1,15; Производство ремонтно-строительных работ на предприятиях, где в силу режима секретности и (или) внутриобъектового режима применяются специальный допуск, специальный пропуск и другие ограничения для рабочих ОЗП-1,15, ЭМ-1,15, ЗПМ-1,15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Расстояние транспортировки непригодного для строительства грунта – 15 км (Условие Заказчика)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Расстояние транспортировки строительного мусора – 15 км (Условие Заказчика)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    В сводном сметном расчете учесть следующие лимитированные затраты: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 xml:space="preserve">- Дополнительные затраты при производстве работ в зимнее время, согласно </w:t>
            </w:r>
            <w:r w:rsidRPr="004D6F61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hyperlink r:id="rId7" w:anchor="64U0IK" w:history="1">
              <w:r w:rsidRPr="004D6F61">
                <w:rPr>
                  <w:rStyle w:val="aa"/>
                  <w:rFonts w:ascii="Times New Roman" w:hAnsi="Times New Roman" w:cs="Times New Roman"/>
                  <w:color w:val="auto"/>
                  <w:shd w:val="clear" w:color="auto" w:fill="FFFFFF"/>
                </w:rPr>
                <w:t>Методики определения дополнительных затрат при производстве работ в зимнее время</w:t>
              </w:r>
            </w:hyperlink>
            <w:r w:rsidRPr="004D6F61">
              <w:rPr>
                <w:rFonts w:ascii="Times New Roman" w:hAnsi="Times New Roman" w:cs="Times New Roman"/>
              </w:rPr>
              <w:t>, утвержденной Приказом от 25.05.2021 № 325/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прил.1 п.17 – 3,2% с учетом п.20 данной Методики;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- Авторский надзор, согласно п.п.173,174 Методики №421/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– 0,2%;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- Строительный контроль, согласно Постановлению Правительства №468 от 21.06.10 г.;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- Проектные и изыскательские работы, согласно договору на проектные (проектно-изыскательские работы);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- Затраты на Государственную экспертизу проектной документации и результатов инженерных изысканий, согласно расчета (договора) ГАУ Управления государственной экспертизы Республики Башкортостан;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- Резерв средств на непредвиденные работы и затраты согласно п.179 Методики №421/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– 3% (Непредвиденные затраты для объектов капитального строительства производственного назначения);</w:t>
            </w:r>
          </w:p>
          <w:p w:rsidR="004D6F61" w:rsidRPr="004D6F61" w:rsidRDefault="004D6F61" w:rsidP="004D6F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t>- Затраты, связанные с уплатой налога на добавленную стоимость, согласно п. 181 Методики №421/</w:t>
            </w:r>
            <w:proofErr w:type="spellStart"/>
            <w:r w:rsidRPr="004D6F61">
              <w:rPr>
                <w:rFonts w:ascii="Times New Roman" w:hAnsi="Times New Roman" w:cs="Times New Roman"/>
              </w:rPr>
              <w:t>пр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D6F61">
              <w:rPr>
                <w:rFonts w:ascii="Times New Roman" w:hAnsi="Times New Roman" w:cs="Times New Roman"/>
              </w:rPr>
              <w:t>Федерльного</w:t>
            </w:r>
            <w:proofErr w:type="spellEnd"/>
            <w:r w:rsidRPr="004D6F61">
              <w:rPr>
                <w:rFonts w:ascii="Times New Roman" w:hAnsi="Times New Roman" w:cs="Times New Roman"/>
              </w:rPr>
              <w:t xml:space="preserve"> закона №303-ФЗ от 03.08.2018.</w:t>
            </w:r>
          </w:p>
          <w:p w:rsidR="004D6F61" w:rsidRPr="004D6F61" w:rsidRDefault="004D6F61" w:rsidP="004D6F61">
            <w:pPr>
              <w:pStyle w:val="a8"/>
              <w:jc w:val="both"/>
            </w:pPr>
            <w:r w:rsidRPr="004D6F61">
              <w:rPr>
                <w:rStyle w:val="a7"/>
              </w:rPr>
              <w:t>Сметную документацию предоставить Заказчику в следующем виде:</w:t>
            </w:r>
          </w:p>
          <w:p w:rsidR="0038385D" w:rsidRPr="004D6F61" w:rsidRDefault="004D6F61" w:rsidP="004D6F61">
            <w:pPr>
              <w:pStyle w:val="a8"/>
              <w:jc w:val="both"/>
              <w:rPr>
                <w:lang w:bidi="en-US"/>
              </w:rPr>
            </w:pPr>
            <w:r w:rsidRPr="004D6F61">
              <w:rPr>
                <w:rStyle w:val="a7"/>
              </w:rPr>
              <w:t xml:space="preserve">Смета – 4 экз. на бумажном носителе и 2-на диске в электронном виде: в программе «Гранд-смета», формате </w:t>
            </w:r>
            <w:r w:rsidRPr="004D6F61">
              <w:rPr>
                <w:rStyle w:val="a7"/>
                <w:lang w:bidi="en-US"/>
              </w:rPr>
              <w:t>«</w:t>
            </w:r>
            <w:r w:rsidRPr="004D6F61">
              <w:rPr>
                <w:rStyle w:val="a7"/>
                <w:lang w:val="en-US" w:bidi="en-US"/>
              </w:rPr>
              <w:t>pdf</w:t>
            </w:r>
            <w:r w:rsidRPr="004D6F61">
              <w:rPr>
                <w:rStyle w:val="a7"/>
                <w:lang w:bidi="en-US"/>
              </w:rPr>
              <w:t xml:space="preserve">» </w:t>
            </w:r>
            <w:r w:rsidRPr="004D6F61">
              <w:rPr>
                <w:rStyle w:val="a7"/>
              </w:rPr>
              <w:t xml:space="preserve">с подписями, в формате </w:t>
            </w:r>
            <w:r w:rsidRPr="004D6F61">
              <w:rPr>
                <w:rStyle w:val="a7"/>
                <w:lang w:val="en-US" w:bidi="en-US"/>
              </w:rPr>
              <w:t>Excel</w:t>
            </w:r>
            <w:r w:rsidRPr="004D6F61">
              <w:rPr>
                <w:rStyle w:val="a7"/>
                <w:lang w:bidi="en-US"/>
              </w:rPr>
              <w:t>.</w:t>
            </w:r>
          </w:p>
        </w:tc>
      </w:tr>
      <w:tr w:rsidR="004D6F61" w:rsidRPr="004D6F61" w:rsidTr="00ED6462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3.5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Требования о применении при </w:t>
            </w:r>
            <w:r w:rsidRPr="004D6F61">
              <w:rPr>
                <w:rStyle w:val="a7"/>
                <w:rFonts w:eastAsiaTheme="minorHAnsi"/>
              </w:rPr>
              <w:lastRenderedPageBreak/>
              <w:t>разработке проектной документации документов в области стандартизации, не включенных в перечень национальных стандартов и сводов правил</w:t>
            </w:r>
          </w:p>
        </w:tc>
        <w:tc>
          <w:tcPr>
            <w:tcW w:w="5848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lastRenderedPageBreak/>
              <w:t>Не требуется</w:t>
            </w:r>
          </w:p>
        </w:tc>
      </w:tr>
      <w:tr w:rsidR="004D6F61" w:rsidRPr="004D6F61" w:rsidTr="00DB42D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Fonts w:ascii="Times New Roman" w:hAnsi="Times New Roman" w:cs="Times New Roman"/>
              </w:rPr>
              <w:lastRenderedPageBreak/>
              <w:br w:type="page"/>
            </w:r>
            <w:r w:rsidRPr="004D6F61">
              <w:rPr>
                <w:rStyle w:val="a7"/>
                <w:rFonts w:eastAsiaTheme="minorHAnsi"/>
              </w:rPr>
              <w:t>3.6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К заданию на проектирование прилагаются следующие документы: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numPr>
                <w:ilvl w:val="0"/>
                <w:numId w:val="6"/>
              </w:numPr>
              <w:tabs>
                <w:tab w:val="left" w:pos="259"/>
              </w:tabs>
              <w:jc w:val="both"/>
            </w:pPr>
            <w:r w:rsidRPr="004D6F61">
              <w:rPr>
                <w:rStyle w:val="a7"/>
              </w:rPr>
              <w:t>Правоустанавливающие документы на земельный участок (договор аренды) или свидетельство о регистрации права собственности;</w:t>
            </w:r>
          </w:p>
          <w:p w:rsidR="0038385D" w:rsidRPr="004D6F61" w:rsidRDefault="0038385D" w:rsidP="0038385D">
            <w:pPr>
              <w:pStyle w:val="a8"/>
              <w:numPr>
                <w:ilvl w:val="0"/>
                <w:numId w:val="6"/>
              </w:numPr>
              <w:tabs>
                <w:tab w:val="left" w:pos="259"/>
              </w:tabs>
              <w:jc w:val="both"/>
            </w:pPr>
            <w:r w:rsidRPr="004D6F61">
              <w:rPr>
                <w:rStyle w:val="a7"/>
              </w:rPr>
              <w:t>Свидетельство о регистрации права собственности на здание (сооружения);</w:t>
            </w:r>
          </w:p>
          <w:p w:rsidR="0038385D" w:rsidRPr="004D6F61" w:rsidRDefault="0038385D" w:rsidP="0038385D">
            <w:pPr>
              <w:pStyle w:val="a8"/>
              <w:numPr>
                <w:ilvl w:val="0"/>
                <w:numId w:val="6"/>
              </w:numPr>
              <w:tabs>
                <w:tab w:val="left" w:pos="259"/>
              </w:tabs>
              <w:jc w:val="both"/>
            </w:pPr>
            <w:r w:rsidRPr="004D6F61">
              <w:rPr>
                <w:rStyle w:val="a7"/>
              </w:rPr>
              <w:t>Технический паспорт БТИ;</w:t>
            </w:r>
          </w:p>
          <w:p w:rsidR="0038385D" w:rsidRPr="004D6F61" w:rsidRDefault="0038385D" w:rsidP="0038385D">
            <w:pPr>
              <w:pStyle w:val="a8"/>
              <w:numPr>
                <w:ilvl w:val="0"/>
                <w:numId w:val="6"/>
              </w:numPr>
              <w:tabs>
                <w:tab w:val="left" w:pos="259"/>
              </w:tabs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Градостроительный план земельного участка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4D6F61" w:rsidRPr="004D6F61" w:rsidTr="00DB42D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3.7</w:t>
            </w:r>
          </w:p>
        </w:tc>
        <w:tc>
          <w:tcPr>
            <w:tcW w:w="2539" w:type="dxa"/>
            <w:vAlign w:val="center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проведения экспертизы Проектной документации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 xml:space="preserve">Проектная организация сопровождает прохождение экспертиз проектно-сметной документации </w:t>
            </w:r>
            <w:r w:rsidRPr="004D6F61">
              <w:rPr>
                <w:rStyle w:val="fontstyle01"/>
                <w:color w:val="auto"/>
                <w:sz w:val="22"/>
                <w:szCs w:val="22"/>
              </w:rPr>
              <w:t>определения достоверности сметной стоимости.</w:t>
            </w:r>
            <w:r w:rsidRPr="004D6F61">
              <w:t xml:space="preserve"> </w:t>
            </w:r>
            <w:r w:rsidRPr="004D6F61">
              <w:rPr>
                <w:rStyle w:val="a7"/>
              </w:rPr>
              <w:t>Заявителем и плательщиком по проведению экспертизы является Заказчик</w:t>
            </w: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br/>
            </w:r>
            <w:r w:rsidRPr="004D6F61">
              <w:rPr>
                <w:rStyle w:val="a7"/>
                <w:rFonts w:eastAsiaTheme="minorHAnsi"/>
                <w:strike/>
              </w:rPr>
              <w:t xml:space="preserve"> </w:t>
            </w:r>
          </w:p>
        </w:tc>
      </w:tr>
      <w:tr w:rsidR="004D6F61" w:rsidRPr="004D6F61" w:rsidTr="00DB42D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3.9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pStyle w:val="a8"/>
              <w:rPr>
                <w:rStyle w:val="a7"/>
              </w:rPr>
            </w:pPr>
            <w:r w:rsidRPr="004D6F61">
              <w:rPr>
                <w:rStyle w:val="a7"/>
              </w:rPr>
              <w:t>Проведение авторского надзора.</w:t>
            </w:r>
          </w:p>
          <w:p w:rsidR="0038385D" w:rsidRPr="004D6F61" w:rsidRDefault="0038385D" w:rsidP="0038385D">
            <w:pPr>
              <w:pStyle w:val="a8"/>
              <w:rPr>
                <w:rStyle w:val="a7"/>
              </w:rPr>
            </w:pPr>
          </w:p>
          <w:p w:rsidR="0038385D" w:rsidRPr="004D6F61" w:rsidRDefault="0038385D" w:rsidP="0038385D">
            <w:pPr>
              <w:pStyle w:val="a8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>Проектная организация выполняет авторский надзор за строительством объекта по отдельному договору.</w:t>
            </w: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  <w:tr w:rsidR="0038385D" w:rsidRPr="004D6F61" w:rsidTr="00DB42D5">
        <w:tc>
          <w:tcPr>
            <w:tcW w:w="958" w:type="dxa"/>
            <w:vAlign w:val="center"/>
          </w:tcPr>
          <w:p w:rsidR="0038385D" w:rsidRPr="004D6F61" w:rsidRDefault="0038385D" w:rsidP="0038385D">
            <w:pPr>
              <w:jc w:val="center"/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 xml:space="preserve">3.10 </w:t>
            </w:r>
          </w:p>
        </w:tc>
        <w:tc>
          <w:tcPr>
            <w:tcW w:w="2539" w:type="dxa"/>
            <w:vAlign w:val="bottom"/>
          </w:tcPr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  <w:r w:rsidRPr="004D6F61">
              <w:rPr>
                <w:rStyle w:val="a7"/>
                <w:rFonts w:eastAsiaTheme="minorHAnsi"/>
              </w:rPr>
              <w:t>Требования к разработке к цифровой информационной модели</w:t>
            </w:r>
          </w:p>
        </w:tc>
        <w:tc>
          <w:tcPr>
            <w:tcW w:w="5848" w:type="dxa"/>
            <w:vAlign w:val="bottom"/>
          </w:tcPr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  <w:r w:rsidRPr="004D6F61">
              <w:rPr>
                <w:rStyle w:val="a7"/>
              </w:rPr>
              <w:t xml:space="preserve"> Разработка ЦИМ не требуется. </w:t>
            </w:r>
          </w:p>
          <w:p w:rsidR="0038385D" w:rsidRPr="004D6F61" w:rsidRDefault="0038385D" w:rsidP="0038385D">
            <w:pPr>
              <w:pStyle w:val="a8"/>
              <w:jc w:val="both"/>
              <w:rPr>
                <w:rStyle w:val="a7"/>
              </w:rPr>
            </w:pPr>
          </w:p>
          <w:p w:rsidR="0038385D" w:rsidRPr="004D6F61" w:rsidRDefault="0038385D" w:rsidP="0038385D">
            <w:pPr>
              <w:rPr>
                <w:rFonts w:ascii="Times New Roman" w:hAnsi="Times New Roman" w:cs="Times New Roman"/>
              </w:rPr>
            </w:pPr>
          </w:p>
        </w:tc>
      </w:tr>
    </w:tbl>
    <w:p w:rsidR="00122966" w:rsidRPr="004D6F61" w:rsidRDefault="00122966" w:rsidP="00122966">
      <w:pPr>
        <w:jc w:val="center"/>
        <w:rPr>
          <w:rFonts w:ascii="Times New Roman" w:hAnsi="Times New Roman" w:cs="Times New Roman"/>
        </w:rPr>
      </w:pPr>
    </w:p>
    <w:p w:rsidR="00B45273" w:rsidRPr="004D6F61" w:rsidRDefault="00B45273" w:rsidP="00122966">
      <w:pPr>
        <w:jc w:val="center"/>
        <w:rPr>
          <w:rFonts w:ascii="Times New Roman" w:hAnsi="Times New Roman" w:cs="Times New Roman"/>
        </w:rPr>
      </w:pPr>
    </w:p>
    <w:p w:rsidR="00B45273" w:rsidRPr="004D6F61" w:rsidRDefault="00B45273" w:rsidP="00122966">
      <w:pPr>
        <w:jc w:val="center"/>
        <w:rPr>
          <w:rFonts w:ascii="Times New Roman" w:hAnsi="Times New Roman" w:cs="Times New Roman"/>
        </w:rPr>
      </w:pPr>
    </w:p>
    <w:p w:rsidR="00B45273" w:rsidRPr="004D6F61" w:rsidRDefault="00B45273" w:rsidP="00B45273">
      <w:pPr>
        <w:rPr>
          <w:rFonts w:ascii="Times New Roman" w:hAnsi="Times New Roman" w:cs="Times New Roman"/>
        </w:rPr>
      </w:pPr>
      <w:r w:rsidRPr="004D6F61">
        <w:rPr>
          <w:rFonts w:ascii="Times New Roman" w:hAnsi="Times New Roman" w:cs="Times New Roman"/>
        </w:rPr>
        <w:t xml:space="preserve">                                        </w:t>
      </w:r>
      <w:r w:rsidR="0042079B" w:rsidRPr="004D6F61">
        <w:rPr>
          <w:rFonts w:ascii="Times New Roman" w:hAnsi="Times New Roman" w:cs="Times New Roman"/>
        </w:rPr>
        <w:t xml:space="preserve">                                            </w:t>
      </w:r>
      <w:r w:rsidRPr="004D6F61">
        <w:rPr>
          <w:rFonts w:ascii="Times New Roman" w:hAnsi="Times New Roman" w:cs="Times New Roman"/>
        </w:rPr>
        <w:t xml:space="preserve">               </w:t>
      </w:r>
    </w:p>
    <w:p w:rsidR="00B45273" w:rsidRPr="004D6F61" w:rsidRDefault="00B45273" w:rsidP="00B45273">
      <w:pPr>
        <w:rPr>
          <w:rFonts w:ascii="Times New Roman" w:hAnsi="Times New Roman" w:cs="Times New Roman"/>
        </w:rPr>
      </w:pPr>
    </w:p>
    <w:sectPr w:rsidR="00B45273" w:rsidRPr="004D6F61" w:rsidSect="0040674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5239"/>
    <w:multiLevelType w:val="multilevel"/>
    <w:tmpl w:val="21FAB8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3534CC"/>
    <w:multiLevelType w:val="multilevel"/>
    <w:tmpl w:val="534CFE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085D66"/>
    <w:multiLevelType w:val="hybridMultilevel"/>
    <w:tmpl w:val="9864DFE4"/>
    <w:lvl w:ilvl="0" w:tplc="D3D673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755E63"/>
    <w:multiLevelType w:val="hybridMultilevel"/>
    <w:tmpl w:val="81A87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7523FB"/>
    <w:multiLevelType w:val="hybridMultilevel"/>
    <w:tmpl w:val="DAF43CAA"/>
    <w:lvl w:ilvl="0" w:tplc="DA7C6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4A4881"/>
    <w:multiLevelType w:val="hybridMultilevel"/>
    <w:tmpl w:val="9D50A87E"/>
    <w:lvl w:ilvl="0" w:tplc="591AA6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00C5D"/>
    <w:rsid w:val="0008279C"/>
    <w:rsid w:val="000C4084"/>
    <w:rsid w:val="00122966"/>
    <w:rsid w:val="00184563"/>
    <w:rsid w:val="001C2A95"/>
    <w:rsid w:val="00281120"/>
    <w:rsid w:val="002C0187"/>
    <w:rsid w:val="002C738E"/>
    <w:rsid w:val="002F4349"/>
    <w:rsid w:val="00315BC4"/>
    <w:rsid w:val="00325321"/>
    <w:rsid w:val="003829F4"/>
    <w:rsid w:val="0038385D"/>
    <w:rsid w:val="003947B8"/>
    <w:rsid w:val="003F0813"/>
    <w:rsid w:val="003F655D"/>
    <w:rsid w:val="0040674E"/>
    <w:rsid w:val="0042079B"/>
    <w:rsid w:val="004321D0"/>
    <w:rsid w:val="004663C8"/>
    <w:rsid w:val="00476026"/>
    <w:rsid w:val="004D6F61"/>
    <w:rsid w:val="004E2FF1"/>
    <w:rsid w:val="0052553A"/>
    <w:rsid w:val="005C0BFE"/>
    <w:rsid w:val="006265AB"/>
    <w:rsid w:val="006D04A2"/>
    <w:rsid w:val="007102E5"/>
    <w:rsid w:val="00785F4E"/>
    <w:rsid w:val="007C4E36"/>
    <w:rsid w:val="00813A35"/>
    <w:rsid w:val="00815045"/>
    <w:rsid w:val="00856FE6"/>
    <w:rsid w:val="008A6DE5"/>
    <w:rsid w:val="008B0174"/>
    <w:rsid w:val="00900C5D"/>
    <w:rsid w:val="00913A89"/>
    <w:rsid w:val="00914D75"/>
    <w:rsid w:val="00977E7F"/>
    <w:rsid w:val="00982A93"/>
    <w:rsid w:val="009932F7"/>
    <w:rsid w:val="009C6A30"/>
    <w:rsid w:val="00A46D5F"/>
    <w:rsid w:val="00A95E0F"/>
    <w:rsid w:val="00AB46F5"/>
    <w:rsid w:val="00AB52F4"/>
    <w:rsid w:val="00AC0A7F"/>
    <w:rsid w:val="00AE4DCD"/>
    <w:rsid w:val="00B25DE7"/>
    <w:rsid w:val="00B45273"/>
    <w:rsid w:val="00B650C9"/>
    <w:rsid w:val="00B7398A"/>
    <w:rsid w:val="00B879A5"/>
    <w:rsid w:val="00C72FA5"/>
    <w:rsid w:val="00C86D6F"/>
    <w:rsid w:val="00C971F0"/>
    <w:rsid w:val="00CA55AF"/>
    <w:rsid w:val="00CB0DCC"/>
    <w:rsid w:val="00D20586"/>
    <w:rsid w:val="00D62A7C"/>
    <w:rsid w:val="00DB7E7D"/>
    <w:rsid w:val="00DD0A25"/>
    <w:rsid w:val="00E066D8"/>
    <w:rsid w:val="00ED7CBB"/>
    <w:rsid w:val="00EE39C3"/>
    <w:rsid w:val="00F263DA"/>
    <w:rsid w:val="00F634D8"/>
    <w:rsid w:val="00F73748"/>
    <w:rsid w:val="00F91C9C"/>
    <w:rsid w:val="00FD3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2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2966"/>
    <w:pPr>
      <w:ind w:left="720"/>
      <w:contextualSpacing/>
    </w:pPr>
  </w:style>
  <w:style w:type="paragraph" w:customStyle="1" w:styleId="docdata">
    <w:name w:val="docdata"/>
    <w:aliases w:val="docy,v5,1004,bqiaagaaeyqcaaagiaiaaaojawaabzcdaaaaaaaaaaaaaaaaaaaaaaaaaaaaaaaaaaaaaaaaaaaaaaaaaaaaaaaaaaaaaaaaaaaaaaaaaaaaaaaaaaaaaaaaaaaaaaaaaaaaaaaaaaaaaaaaaaaaaaaaaaaaaaaaaaaaaaaaaaaaaaaaaaaaaaaaaaaaaaaaaaaaaaaaaaaaaaaaaaaaaaaaaaaaaaaaaaaaaaaa"/>
    <w:basedOn w:val="a"/>
    <w:rsid w:val="00082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x-messenger-ajax">
    <w:name w:val="bx-messenger-ajax"/>
    <w:basedOn w:val="a0"/>
    <w:rsid w:val="0052553A"/>
  </w:style>
  <w:style w:type="paragraph" w:styleId="a5">
    <w:name w:val="No Spacing"/>
    <w:uiPriority w:val="1"/>
    <w:qFormat/>
    <w:rsid w:val="004321D0"/>
    <w:pPr>
      <w:spacing w:after="0" w:line="240" w:lineRule="auto"/>
    </w:pPr>
  </w:style>
  <w:style w:type="character" w:customStyle="1" w:styleId="a6">
    <w:name w:val="Основной текст_"/>
    <w:basedOn w:val="a0"/>
    <w:link w:val="1"/>
    <w:rsid w:val="00DB7E7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6"/>
    <w:rsid w:val="00DB7E7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Другое_"/>
    <w:basedOn w:val="a0"/>
    <w:link w:val="a8"/>
    <w:rsid w:val="00DB7E7D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DB7E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rsid w:val="003838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Номер заголовка №1_"/>
    <w:basedOn w:val="a0"/>
    <w:link w:val="11"/>
    <w:rsid w:val="0038385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Номер заголовка №1"/>
    <w:basedOn w:val="a"/>
    <w:link w:val="10"/>
    <w:rsid w:val="0038385D"/>
    <w:pPr>
      <w:widowControl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Заголовок №1_"/>
    <w:basedOn w:val="a0"/>
    <w:link w:val="13"/>
    <w:rsid w:val="0038385D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38385D"/>
    <w:pPr>
      <w:widowControl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2"/>
    <w:qFormat/>
    <w:rsid w:val="0038385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9">
    <w:name w:val="Placeholder Text"/>
    <w:basedOn w:val="a0"/>
    <w:uiPriority w:val="99"/>
    <w:rsid w:val="0038385D"/>
    <w:rPr>
      <w:color w:val="808080"/>
    </w:rPr>
  </w:style>
  <w:style w:type="character" w:styleId="aa">
    <w:name w:val="Hyperlink"/>
    <w:basedOn w:val="a0"/>
    <w:uiPriority w:val="99"/>
    <w:semiHidden/>
    <w:unhideWhenUsed/>
    <w:rsid w:val="004D6F6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B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0DC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29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2966"/>
    <w:pPr>
      <w:ind w:left="720"/>
      <w:contextualSpacing/>
    </w:pPr>
  </w:style>
  <w:style w:type="paragraph" w:customStyle="1" w:styleId="docdata">
    <w:name w:val="docdata"/>
    <w:aliases w:val="docy,v5,1004,bqiaagaaeyqcaaagiaiaaaojawaabzcdaaaaaaaaaaaaaaaaaaaaaaaaaaaaaaaaaaaaaaaaaaaaaaaaaaaaaaaaaaaaaaaaaaaaaaaaaaaaaaaaaaaaaaaaaaaaaaaaaaaaaaaaaaaaaaaaaaaaaaaaaaaaaaaaaaaaaaaaaaaaaaaaaaaaaaaaaaaaaaaaaaaaaaaaaaaaaaaaaaaaaaaaaaaaaaaaaaaaaaaa"/>
    <w:basedOn w:val="a"/>
    <w:rsid w:val="00082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x-messenger-ajax">
    <w:name w:val="bx-messenger-ajax"/>
    <w:basedOn w:val="a0"/>
    <w:rsid w:val="0052553A"/>
  </w:style>
  <w:style w:type="paragraph" w:styleId="a5">
    <w:name w:val="No Spacing"/>
    <w:uiPriority w:val="1"/>
    <w:qFormat/>
    <w:rsid w:val="004321D0"/>
    <w:pPr>
      <w:spacing w:after="0" w:line="240" w:lineRule="auto"/>
    </w:pPr>
  </w:style>
  <w:style w:type="character" w:customStyle="1" w:styleId="a6">
    <w:name w:val="Основной текст_"/>
    <w:basedOn w:val="a0"/>
    <w:link w:val="1"/>
    <w:rsid w:val="00DB7E7D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6"/>
    <w:rsid w:val="00DB7E7D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7">
    <w:name w:val="Другое_"/>
    <w:basedOn w:val="a0"/>
    <w:link w:val="a8"/>
    <w:rsid w:val="00DB7E7D"/>
    <w:rPr>
      <w:rFonts w:ascii="Times New Roman" w:eastAsia="Times New Roman" w:hAnsi="Times New Roman" w:cs="Times New Roman"/>
    </w:rPr>
  </w:style>
  <w:style w:type="paragraph" w:customStyle="1" w:styleId="a8">
    <w:name w:val="Другое"/>
    <w:basedOn w:val="a"/>
    <w:link w:val="a7"/>
    <w:rsid w:val="00DB7E7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a0"/>
    <w:rsid w:val="003838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Номер заголовка №1_"/>
    <w:basedOn w:val="a0"/>
    <w:link w:val="11"/>
    <w:rsid w:val="0038385D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Номер заголовка №1"/>
    <w:basedOn w:val="a"/>
    <w:link w:val="10"/>
    <w:rsid w:val="0038385D"/>
    <w:pPr>
      <w:widowControl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Заголовок №1_"/>
    <w:basedOn w:val="a0"/>
    <w:link w:val="13"/>
    <w:rsid w:val="0038385D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38385D"/>
    <w:pPr>
      <w:widowControl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2"/>
    <w:qFormat/>
    <w:rsid w:val="0038385D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9">
    <w:name w:val="Placeholder Text"/>
    <w:basedOn w:val="a0"/>
    <w:uiPriority w:val="99"/>
    <w:rsid w:val="0038385D"/>
    <w:rPr>
      <w:color w:val="808080"/>
    </w:rPr>
  </w:style>
  <w:style w:type="character" w:styleId="aa">
    <w:name w:val="Hyperlink"/>
    <w:basedOn w:val="a0"/>
    <w:uiPriority w:val="99"/>
    <w:semiHidden/>
    <w:unhideWhenUsed/>
    <w:rsid w:val="004D6F61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B0D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B0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60780635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65649004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71936-8EC9-4AEE-929D-50EA9905F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2657</Words>
  <Characters>15151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УМПО</Company>
  <LinksUpToDate>false</LinksUpToDate>
  <CharactersWithSpaces>17773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Седов</dc:creator>
  <cp:lastModifiedBy>MukimovVA</cp:lastModifiedBy>
  <cp:revision>2</cp:revision>
  <cp:lastPrinted>2024-08-06T10:43:00Z</cp:lastPrinted>
  <dcterms:created xsi:type="dcterms:W3CDTF">2024-08-09T11:01:00Z</dcterms:created>
  <dcterms:modified xsi:type="dcterms:W3CDTF">2024-08-09T11:01:00Z</dcterms:modified>
</cp:coreProperties>
</file>